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7624A0" w:rsidP="007624A0" w14:paraId="365581D4" w14:textId="77777777">
      <w:pPr>
        <w:pStyle w:val="MainTitle"/>
      </w:pPr>
      <w:r>
        <w:drawing>
          <wp:anchor simplePos="0" relativeHeight="251658240" behindDoc="0" locked="1" layoutInCell="1" allowOverlap="1">
            <wp:simplePos x="0" y="0"/>
            <wp:positionH relativeFrom="margin">
              <wp:posOffset>5080000</wp:posOffset>
            </wp:positionH>
            <wp:positionV relativeFrom="margin">
              <wp:posOffset>5969000</wp:posOffset>
            </wp:positionV>
            <wp:extent cx="1645923" cy="1120142"/>
            <wp:wrapNone/>
            <wp:docPr id="10003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68207"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4562475</wp:posOffset>
                </wp:positionH>
                <wp:positionV relativeFrom="page">
                  <wp:posOffset>2867025</wp:posOffset>
                </wp:positionV>
                <wp:extent cx="2505075" cy="200025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5075" cy="2000250"/>
                        </a:xfrm>
                        <a:prstGeom prst="rect">
                          <a:avLst/>
                        </a:prstGeom>
                        <a:noFill/>
                        <a:ln w="9525">
                          <a:noFill/>
                          <a:miter lim="800000"/>
                          <a:headEnd/>
                          <a:tailEnd/>
                        </a:ln>
                      </wps:spPr>
                      <wps:txbx>
                        <w:txbxContent>
                          <w:p w:rsidR="00110963" w:rsidP="0093305D" w14:textId="77777777">
                            <w:pPr>
                              <w:pStyle w:val="Checkbox"/>
                              <w:ind w:left="180" w:hanging="356"/>
                            </w:pPr>
                            <w:r>
                              <w:t xml:space="preserve">OSHA will prioritize resources to determine whether on-site inspections are necessary. </w:t>
                            </w:r>
                          </w:p>
                          <w:p w:rsidR="0093305D" w:rsidP="0093305D" w14:textId="55A367CC">
                            <w:pPr>
                              <w:pStyle w:val="Checkbox"/>
                              <w:ind w:left="180" w:hanging="356"/>
                            </w:pPr>
                            <w:r>
                              <w:t>On-site i</w:t>
                            </w:r>
                            <w:r w:rsidRPr="00325E3C">
                              <w:t>nspection</w:t>
                            </w:r>
                            <w:r>
                              <w:t>s</w:t>
                            </w:r>
                            <w:r w:rsidRPr="00325E3C">
                              <w:t xml:space="preserve"> will primarily focus on facilities with </w:t>
                            </w:r>
                            <w:r w:rsidR="00E2753B">
                              <w:t xml:space="preserve">jobs that involve </w:t>
                            </w:r>
                            <w:r w:rsidRPr="00325E3C">
                              <w:t xml:space="preserve">high and very high </w:t>
                            </w:r>
                            <w:r w:rsidR="00E2753B">
                              <w:t xml:space="preserve">risk of </w:t>
                            </w:r>
                            <w:r w:rsidRPr="00325E3C">
                              <w:t>exposure.</w:t>
                            </w:r>
                            <w:r>
                              <w:t xml:space="preserve"> </w:t>
                            </w:r>
                          </w:p>
                          <w:p w:rsidR="0093305D" w:rsidP="0093305D" w14:textId="6E952AAA">
                            <w:pPr>
                              <w:pStyle w:val="Checkbox"/>
                              <w:ind w:left="180" w:hanging="356"/>
                            </w:pPr>
                            <w:r>
                              <w:t>Most c</w:t>
                            </w:r>
                            <w:r>
                              <w:t xml:space="preserve">omplaints of </w:t>
                            </w:r>
                            <w:r>
                              <w:t>COVID-19</w:t>
                            </w:r>
                            <w:r w:rsidRPr="00325E3C">
                              <w:t xml:space="preserve"> exposure in medium</w:t>
                            </w:r>
                            <w:r>
                              <w:t>-</w:t>
                            </w:r>
                            <w:r w:rsidRPr="00325E3C">
                              <w:t xml:space="preserve"> or lower</w:t>
                            </w:r>
                            <w:r>
                              <w:t>-</w:t>
                            </w:r>
                            <w:r w:rsidRPr="00325E3C">
                              <w:t xml:space="preserve">risk </w:t>
                            </w:r>
                            <w:r>
                              <w:t xml:space="preserve">jobs </w:t>
                            </w:r>
                            <w:r w:rsidRPr="00325E3C">
                              <w:t>will not result in an on-site inspection.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7.25pt;height:157.5pt;margin-top:225.75pt;margin-left:359.2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110963" w:rsidP="0093305D" w14:paraId="2102EC42" w14:textId="77777777">
                      <w:pPr>
                        <w:pStyle w:val="Checkbox"/>
                        <w:ind w:left="180" w:hanging="356"/>
                      </w:pPr>
                      <w:r>
                        <w:t xml:space="preserve">OSHA will prioritize resources to determine whether on-site inspections are necessary. </w:t>
                      </w:r>
                    </w:p>
                    <w:p w:rsidR="0093305D" w:rsidP="0093305D" w14:paraId="082E6F54" w14:textId="55A367CC">
                      <w:pPr>
                        <w:pStyle w:val="Checkbox"/>
                        <w:ind w:left="180" w:hanging="356"/>
                      </w:pPr>
                      <w:r>
                        <w:t>On-site i</w:t>
                      </w:r>
                      <w:r w:rsidRPr="00325E3C">
                        <w:t>nspection</w:t>
                      </w:r>
                      <w:r>
                        <w:t>s</w:t>
                      </w:r>
                      <w:r w:rsidRPr="00325E3C">
                        <w:t xml:space="preserve"> will primarily focus on facilities with </w:t>
                      </w:r>
                      <w:r w:rsidR="00E2753B">
                        <w:t xml:space="preserve">jobs that involve </w:t>
                      </w:r>
                      <w:r w:rsidRPr="00325E3C">
                        <w:t xml:space="preserve">high and very high </w:t>
                      </w:r>
                      <w:r w:rsidR="00E2753B">
                        <w:t xml:space="preserve">risk of </w:t>
                      </w:r>
                      <w:r w:rsidRPr="00325E3C">
                        <w:t>exposure.</w:t>
                      </w:r>
                      <w:r>
                        <w:t xml:space="preserve"> </w:t>
                      </w:r>
                    </w:p>
                    <w:p w:rsidR="0093305D" w:rsidP="0093305D" w14:paraId="7871AAB3" w14:textId="6E952AAA">
                      <w:pPr>
                        <w:pStyle w:val="Checkbox"/>
                        <w:ind w:left="180" w:hanging="356"/>
                      </w:pPr>
                      <w:r>
                        <w:t>Most c</w:t>
                      </w:r>
                      <w:r>
                        <w:t xml:space="preserve">omplaints of </w:t>
                      </w:r>
                      <w:r>
                        <w:t>COVID-19</w:t>
                      </w:r>
                      <w:r w:rsidRPr="00325E3C">
                        <w:t xml:space="preserve"> exposure in medium</w:t>
                      </w:r>
                      <w:r>
                        <w:t>-</w:t>
                      </w:r>
                      <w:r w:rsidRPr="00325E3C">
                        <w:t xml:space="preserve"> or lower</w:t>
                      </w:r>
                      <w:r>
                        <w:t>-</w:t>
                      </w:r>
                      <w:r w:rsidRPr="00325E3C">
                        <w:t xml:space="preserve">risk </w:t>
                      </w:r>
                      <w:r>
                        <w:t xml:space="preserve">jobs </w:t>
                      </w:r>
                      <w:r w:rsidRPr="00325E3C">
                        <w:t>will not result in an on-site inspection.</w:t>
                      </w:r>
                    </w:p>
                  </w:txbxContent>
                </v:textbox>
                <w10:wrap type="square"/>
              </v:shape>
            </w:pict>
          </mc:Fallback>
        </mc:AlternateContent>
      </w:r>
      <w:r>
        <w:t xml:space="preserve">OSHA Enforcement </w:t>
      </w:r>
      <w:r w:rsidR="005C4CC7">
        <w:t>Priorities</w:t>
      </w:r>
      <w:r>
        <w:t xml:space="preserve"> During the Coronavirus </w:t>
      </w:r>
      <w:r w:rsidR="00C61CDB">
        <w:t>Pan</w:t>
      </w:r>
      <w:r>
        <w:t>demic</w:t>
      </w:r>
      <w:r w:rsidR="0019007E">
        <w:rPr>
          <w:rFonts w:ascii="Calibri" w:eastAsia="Times New Roman" w:hAnsi="Calibri" w:cs="Arial"/>
          <w:noProof/>
          <w:color w:val="595959"/>
          <w:szCs w:val="20"/>
        </w:rPr>
        <mc:AlternateContent>
          <mc:Choice Requires="wpg">
            <w:drawing>
              <wp:anchor distT="0" distB="0" distL="114300" distR="114300" simplePos="0" relativeHeight="251667456" behindDoc="0" locked="0" layoutInCell="1" allowOverlap="1">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3324242" cy="367030"/>
                          <a:chOff x="3801" y="0"/>
                          <a:chExt cx="3324242" cy="367030"/>
                        </a:xfrm>
                      </wpg:grpSpPr>
                      <pic:pic xmlns:pic="http://schemas.openxmlformats.org/drawingml/2006/picture">
                        <pic:nvPicPr>
                          <pic:cNvPr id="37" name="Picture 37"/>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xmlns:wps="http://schemas.microsoft.com/office/word/2010/wordprocessingShape">
                        <wps:cNvPr id="1238612682"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P="00E375D9" w14:textId="77777777">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6" style="width:262.35pt;height:28.9pt;margin-top:197.35pt;margin-left:348.25pt;mso-position-vertical-relative:page;position:absolute;z-index:251668480"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width:33242;height:3670;left:38;mso-wrap-style:square;position:absolute;visibility:visible">
                  <v:imagedata r:id="rId5" o:title=""/>
                </v:shape>
                <v:shape id="_x0000_s1028" type="#_x0000_t202" style="width:24130;height:3296;left:1232;mso-wrap-style:square;position:absolute;top:205;visibility:visible;v-text-anchor:top" filled="f" stroked="f">
                  <v:textbox>
                    <w:txbxContent>
                      <w:p w:rsidR="00E375D9" w:rsidRPr="00A8186B" w:rsidP="00E375D9" w14:paraId="33C8085F" w14:textId="77777777">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p>
    <w:p w:rsidR="00C61CDB" w:rsidP="00B24749" w14:paraId="3E1493B3" w14:textId="1470C810">
      <w:pPr>
        <w:pStyle w:val="BodyText"/>
      </w:pPr>
      <w:r>
        <w:t>Due to</w:t>
      </w:r>
      <w:r w:rsidR="00630024">
        <w:t xml:space="preserve"> c</w:t>
      </w:r>
      <w:r w:rsidRPr="004C6B5B" w:rsidR="00B24749">
        <w:t xml:space="preserve">omplaints </w:t>
      </w:r>
      <w:r w:rsidR="00630024">
        <w:t>re</w:t>
      </w:r>
      <w:r w:rsidRPr="004C6B5B" w:rsidR="00B24749">
        <w:t>lated to</w:t>
      </w:r>
      <w:r w:rsidR="00630024">
        <w:t xml:space="preserve"> a</w:t>
      </w:r>
      <w:r w:rsidR="00890A07">
        <w:t xml:space="preserve"> l</w:t>
      </w:r>
      <w:r w:rsidRPr="004C6B5B" w:rsidR="00B24749">
        <w:t>ack of personal protective equipment (PPE)</w:t>
      </w:r>
      <w:r w:rsidR="00630024">
        <w:t xml:space="preserve">, insufficient </w:t>
      </w:r>
      <w:r w:rsidRPr="004C6B5B" w:rsidR="00B24749">
        <w:t>training on appropriate standards</w:t>
      </w:r>
      <w:r w:rsidR="00890A07">
        <w:t xml:space="preserve"> </w:t>
      </w:r>
      <w:r w:rsidRPr="004C6B5B" w:rsidR="00B24749">
        <w:t>and</w:t>
      </w:r>
      <w:r w:rsidR="00630024">
        <w:t xml:space="preserve"> </w:t>
      </w:r>
      <w:r w:rsidR="00890A07">
        <w:t>p</w:t>
      </w:r>
      <w:r w:rsidRPr="004C6B5B" w:rsidR="00B24749">
        <w:t>ossible</w:t>
      </w:r>
      <w:r>
        <w:t xml:space="preserve"> coronavirus </w:t>
      </w:r>
      <w:r w:rsidRPr="004C6B5B" w:rsidR="00B24749">
        <w:t>illness</w:t>
      </w:r>
      <w:r w:rsidR="00D37117">
        <w:t xml:space="preserve"> </w:t>
      </w:r>
      <w:r w:rsidR="00D37117">
        <w:t>(</w:t>
      </w:r>
      <w:r w:rsidRPr="004C6B5B" w:rsidR="00D37117">
        <w:t>COVID-19</w:t>
      </w:r>
      <w:r w:rsidR="00D37117">
        <w:t>)</w:t>
      </w:r>
      <w:r w:rsidRPr="004C6B5B" w:rsidR="00D37117">
        <w:t xml:space="preserve"> </w:t>
      </w:r>
      <w:r w:rsidR="00630024">
        <w:t>transmission</w:t>
      </w:r>
      <w:r>
        <w:t>s</w:t>
      </w:r>
      <w:r w:rsidRPr="004C6B5B" w:rsidR="00B24749">
        <w:t xml:space="preserve"> in the workplace</w:t>
      </w:r>
      <w:r>
        <w:t xml:space="preserve">, the Occupational Safety and Health Administration (OSHA) </w:t>
      </w:r>
      <w:r w:rsidR="0093305D">
        <w:rPr>
          <w:noProof/>
        </w:rPr>
        <mc:AlternateContent>
          <mc:Choice Requires="wps">
            <w:drawing>
              <wp:anchor distT="45720" distB="45720" distL="114300" distR="114300" simplePos="0" relativeHeight="251661312" behindDoc="0" locked="0" layoutInCell="1" allowOverlap="1">
                <wp:simplePos x="0" y="0"/>
                <wp:positionH relativeFrom="column">
                  <wp:posOffset>4561840</wp:posOffset>
                </wp:positionH>
                <wp:positionV relativeFrom="page">
                  <wp:posOffset>5457825</wp:posOffset>
                </wp:positionV>
                <wp:extent cx="2505075" cy="2760980"/>
                <wp:effectExtent l="0" t="0" r="0" b="127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5075" cy="2760980"/>
                        </a:xfrm>
                        <a:prstGeom prst="rect">
                          <a:avLst/>
                        </a:prstGeom>
                        <a:noFill/>
                        <a:ln w="9525">
                          <a:noFill/>
                          <a:miter lim="800000"/>
                          <a:headEnd/>
                          <a:tailEnd/>
                        </a:ln>
                      </wps:spPr>
                      <wps:txbx>
                        <w:txbxContent>
                          <w:p w:rsidR="0093305D" w:rsidRPr="0093305D" w:rsidP="0093305D" w14:textId="77777777">
                            <w:pPr>
                              <w:pStyle w:val="SubHeader"/>
                            </w:pPr>
                            <w:r w:rsidRPr="0093305D">
                              <w:t xml:space="preserve">High Risk </w:t>
                            </w:r>
                          </w:p>
                          <w:p w:rsidR="0093305D" w:rsidP="005C4CC7" w14:textId="119F388D">
                            <w:pPr>
                              <w:pStyle w:val="BodyText"/>
                              <w:jc w:val="left"/>
                            </w:pPr>
                            <w:r>
                              <w:t>J</w:t>
                            </w:r>
                            <w:r w:rsidRPr="00F62890">
                              <w:t xml:space="preserve">obs with high potential for exposure to known or suspected sources of </w:t>
                            </w:r>
                            <w:r w:rsidR="00E2753B">
                              <w:t>COVID-19</w:t>
                            </w:r>
                            <w:r w:rsidRPr="00F62890">
                              <w:t xml:space="preserve"> </w:t>
                            </w:r>
                            <w:r>
                              <w:t>in</w:t>
                            </w:r>
                            <w:r w:rsidRPr="00F62890">
                              <w:t xml:space="preserve"> specific medical, postmortem or laboratory procedures.</w:t>
                            </w:r>
                          </w:p>
                          <w:p w:rsidR="0093305D" w:rsidP="005C4CC7" w14:textId="77777777">
                            <w:pPr>
                              <w:pStyle w:val="SubHeader"/>
                            </w:pPr>
                            <w:r w:rsidRPr="0093305D">
                              <w:t>Medium Risk</w:t>
                            </w:r>
                          </w:p>
                          <w:p w:rsidR="0093305D" w:rsidRPr="0093305D" w:rsidP="005C4CC7" w14:textId="77777777">
                            <w:pPr>
                              <w:pStyle w:val="BodyText"/>
                              <w:jc w:val="left"/>
                            </w:pPr>
                            <w:r w:rsidRPr="0093305D">
                              <w:t xml:space="preserve">Jobs with </w:t>
                            </w:r>
                            <w:r>
                              <w:t xml:space="preserve">frequent or close contact with people who may be infected. </w:t>
                            </w:r>
                          </w:p>
                          <w:p w:rsidR="0093305D" w:rsidRPr="0093305D" w:rsidP="005C4CC7" w14:textId="77777777">
                            <w:pPr>
                              <w:pStyle w:val="SubHeader"/>
                              <w:rPr>
                                <w:color w:val="595959"/>
                                <w:szCs w:val="20"/>
                              </w:rPr>
                            </w:pPr>
                            <w:r w:rsidRPr="0093305D">
                              <w:t>Low Risk</w:t>
                            </w:r>
                            <w:r w:rsidRPr="0093305D">
                              <w:rPr>
                                <w:color w:val="595959"/>
                                <w:szCs w:val="20"/>
                              </w:rPr>
                              <w:t xml:space="preserve"> </w:t>
                            </w:r>
                          </w:p>
                          <w:p w:rsidR="00441851" w:rsidP="005C4CC7" w14:textId="08317F95">
                            <w:pPr>
                              <w:pStyle w:val="BodyText"/>
                              <w:jc w:val="left"/>
                            </w:pPr>
                            <w:r>
                              <w:t>Jobs that do not require contact with people known</w:t>
                            </w:r>
                            <w:r w:rsidR="005C4CC7">
                              <w:t xml:space="preserve"> or suspected </w:t>
                            </w:r>
                            <w:r>
                              <w:t>to be</w:t>
                            </w:r>
                            <w:r w:rsidR="005C4CC7">
                              <w:t xml:space="preserve"> </w:t>
                            </w:r>
                            <w:r>
                              <w:t xml:space="preserve">infected </w:t>
                            </w:r>
                            <w:r w:rsidR="00EC4F13">
                              <w:t xml:space="preserve">and do not involve </w:t>
                            </w:r>
                            <w:r>
                              <w:t>frequent</w:t>
                            </w:r>
                            <w:r w:rsidR="005C4CC7">
                              <w:t xml:space="preserve"> or</w:t>
                            </w:r>
                            <w:r>
                              <w:t xml:space="preserve"> close contact with the general public.</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97.25pt;height:217.4pt;margin-top:429.75pt;margin-left:359.2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93305D" w:rsidRPr="0093305D" w:rsidP="0093305D" w14:paraId="45400A7B" w14:textId="77777777">
                      <w:pPr>
                        <w:pStyle w:val="SubHeader"/>
                      </w:pPr>
                      <w:r w:rsidRPr="0093305D">
                        <w:t xml:space="preserve">High Risk </w:t>
                      </w:r>
                    </w:p>
                    <w:p w:rsidR="0093305D" w:rsidP="005C4CC7" w14:paraId="44DEF83C" w14:textId="119F388D">
                      <w:pPr>
                        <w:pStyle w:val="BodyText"/>
                        <w:jc w:val="left"/>
                      </w:pPr>
                      <w:r>
                        <w:t>J</w:t>
                      </w:r>
                      <w:r w:rsidRPr="00F62890">
                        <w:t xml:space="preserve">obs with high potential for exposure to known or suspected sources of </w:t>
                      </w:r>
                      <w:r w:rsidR="00E2753B">
                        <w:t>COVID-19</w:t>
                      </w:r>
                      <w:r w:rsidRPr="00F62890">
                        <w:t xml:space="preserve"> </w:t>
                      </w:r>
                      <w:r>
                        <w:t>in</w:t>
                      </w:r>
                      <w:r w:rsidRPr="00F62890">
                        <w:t xml:space="preserve"> specific medical, postmortem or laboratory procedures.</w:t>
                      </w:r>
                    </w:p>
                    <w:p w:rsidR="0093305D" w:rsidP="005C4CC7" w14:paraId="38E5F0B0" w14:textId="77777777">
                      <w:pPr>
                        <w:pStyle w:val="SubHeader"/>
                      </w:pPr>
                      <w:r w:rsidRPr="0093305D">
                        <w:t>Medium Risk</w:t>
                      </w:r>
                    </w:p>
                    <w:p w:rsidR="0093305D" w:rsidRPr="0093305D" w:rsidP="005C4CC7" w14:paraId="684F5013" w14:textId="77777777">
                      <w:pPr>
                        <w:pStyle w:val="BodyText"/>
                        <w:jc w:val="left"/>
                      </w:pPr>
                      <w:r w:rsidRPr="0093305D">
                        <w:t xml:space="preserve">Jobs with </w:t>
                      </w:r>
                      <w:r>
                        <w:t xml:space="preserve">frequent or close contact with people who may be infected. </w:t>
                      </w:r>
                    </w:p>
                    <w:p w:rsidR="0093305D" w:rsidRPr="0093305D" w:rsidP="005C4CC7" w14:paraId="45BFD553" w14:textId="77777777">
                      <w:pPr>
                        <w:pStyle w:val="SubHeader"/>
                        <w:rPr>
                          <w:color w:val="595959"/>
                          <w:szCs w:val="20"/>
                        </w:rPr>
                      </w:pPr>
                      <w:r w:rsidRPr="0093305D">
                        <w:t>Low Risk</w:t>
                      </w:r>
                      <w:r w:rsidRPr="0093305D">
                        <w:rPr>
                          <w:color w:val="595959"/>
                          <w:szCs w:val="20"/>
                        </w:rPr>
                        <w:t xml:space="preserve"> </w:t>
                      </w:r>
                    </w:p>
                    <w:p w:rsidR="00441851" w:rsidP="005C4CC7" w14:paraId="6B67A49F" w14:textId="08317F95">
                      <w:pPr>
                        <w:pStyle w:val="BodyText"/>
                        <w:jc w:val="left"/>
                      </w:pPr>
                      <w:r>
                        <w:t>Jobs that do not require contact with people known</w:t>
                      </w:r>
                      <w:r w:rsidR="005C4CC7">
                        <w:t xml:space="preserve"> or suspected </w:t>
                      </w:r>
                      <w:r>
                        <w:t>to be</w:t>
                      </w:r>
                      <w:r w:rsidR="005C4CC7">
                        <w:t xml:space="preserve"> </w:t>
                      </w:r>
                      <w:r>
                        <w:t xml:space="preserve">infected </w:t>
                      </w:r>
                      <w:r w:rsidR="00EC4F13">
                        <w:t xml:space="preserve">and do not involve </w:t>
                      </w:r>
                      <w:r>
                        <w:t>frequent</w:t>
                      </w:r>
                      <w:r w:rsidR="005C4CC7">
                        <w:t xml:space="preserve"> or</w:t>
                      </w:r>
                      <w:r>
                        <w:t xml:space="preserve"> close contact with the general public.</w:t>
                      </w:r>
                    </w:p>
                  </w:txbxContent>
                </v:textbox>
                <w10:wrap type="square"/>
              </v:shape>
            </w:pict>
          </mc:Fallback>
        </mc:AlternateContent>
      </w:r>
      <w:r w:rsidR="0093305D">
        <w:rPr>
          <w:noProof/>
        </w:rPr>
        <mc:AlternateContent>
          <mc:Choice Requires="wpg">
            <w:drawing>
              <wp:anchor distT="0" distB="0" distL="114300" distR="114300" simplePos="0" relativeHeight="251669504" behindDoc="0" locked="0" layoutInCell="1" allowOverlap="1">
                <wp:simplePos x="0" y="0"/>
                <wp:positionH relativeFrom="column">
                  <wp:posOffset>4419600</wp:posOffset>
                </wp:positionH>
                <wp:positionV relativeFrom="page">
                  <wp:posOffset>4958715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3331845" cy="367030"/>
                          <a:chOff x="3801" y="0"/>
                          <a:chExt cx="3324242" cy="367030"/>
                        </a:xfrm>
                      </wpg:grpSpPr>
                      <pic:pic xmlns:pic="http://schemas.openxmlformats.org/drawingml/2006/picture">
                        <pic:nvPicPr>
                          <pic:cNvPr id="40" name="Picture 40"/>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xmlns:wps="http://schemas.microsoft.com/office/word/2010/wordprocessingShape">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P="00E375D9" w14:textId="77777777">
                              <w:pPr>
                                <w:pStyle w:val="SubHeader"/>
                                <w:rPr>
                                  <w:color w:val="FFFFFF" w:themeColor="background1"/>
                                  <w:sz w:val="32"/>
                                  <w:szCs w:val="32"/>
                                </w:rPr>
                              </w:pPr>
                              <w:r>
                                <w:rPr>
                                  <w:color w:val="FFFFFF" w:themeColor="background1"/>
                                  <w:sz w:val="32"/>
                                  <w:szCs w:val="32"/>
                                </w:rPr>
                                <w:t>Exposure Risk Levels</w:t>
                              </w:r>
                            </w:p>
                          </w:txbxContent>
                        </wps:txbx>
                        <wps:bodyPr rot="0" vert="horz" wrap="square" anchor="t" anchorCtr="0"/>
                      </wps:wsp>
                    </wpg:wgp>
                  </a:graphicData>
                </a:graphic>
              </wp:anchor>
            </w:drawing>
          </mc:Choice>
          <mc:Fallback>
            <w:pict>
              <v:group id="Group 42" o:spid="_x0000_s1030" style="width:262.35pt;height:28.9pt;margin-top:390.45pt;margin-left:348pt;mso-position-vertical-relative:page;position:absolute;z-index:251670528" coordorigin="38,0" coordsize="33242,3670">
                <v:shape id="Picture 40" o:spid="_x0000_s1031" type="#_x0000_t75" style="width:33242;height:3670;left:38;mso-wrap-style:square;position:absolute;visibility:visible">
                  <v:imagedata r:id="rId5" o:title=""/>
                </v:shape>
                <v:shape id="Text Box 41" o:spid="_x0000_s1032" type="#_x0000_t202" style="width:24130;height:3296;left:1232;mso-wrap-style:square;position:absolute;top:205;visibility:visible;v-text-anchor:top" filled="f" stroked="f">
                  <v:textbox>
                    <w:txbxContent>
                      <w:p w:rsidR="00E375D9" w:rsidRPr="00A8186B" w:rsidP="00E375D9" w14:paraId="1F982BAD" w14:textId="77777777">
                        <w:pPr>
                          <w:pStyle w:val="SubHeader"/>
                          <w:rPr>
                            <w:color w:val="FFFFFF" w:themeColor="background1"/>
                            <w:sz w:val="32"/>
                            <w:szCs w:val="32"/>
                          </w:rPr>
                        </w:pPr>
                        <w:r>
                          <w:rPr>
                            <w:color w:val="FFFFFF" w:themeColor="background1"/>
                            <w:sz w:val="32"/>
                            <w:szCs w:val="32"/>
                          </w:rPr>
                          <w:t>Exposure Risk Levels</w:t>
                        </w:r>
                      </w:p>
                    </w:txbxContent>
                  </v:textbox>
                </v:shape>
              </v:group>
            </w:pict>
          </mc:Fallback>
        </mc:AlternateContent>
      </w:r>
      <w:r w:rsidR="00B24749">
        <w:t>has</w:t>
      </w:r>
      <w:r w:rsidR="00446018">
        <w:t xml:space="preserve"> issued</w:t>
      </w:r>
      <w:r w:rsidR="00B24749">
        <w:t xml:space="preserve"> </w:t>
      </w:r>
      <w:r>
        <w:fldChar w:fldCharType="begin"/>
      </w:r>
      <w:r>
        <w:instrText xml:space="preserve"> HYPERLINK "https://www.osha.gov/memos/2020-04-13/interim-enforcement-response-plan-coronavirus-disease-2019-covid-19" </w:instrText>
      </w:r>
      <w:r>
        <w:fldChar w:fldCharType="separate"/>
      </w:r>
      <w:r w:rsidR="00446018">
        <w:rPr>
          <w:rStyle w:val="Hyperlink"/>
        </w:rPr>
        <w:t>temporary guidance</w:t>
      </w:r>
      <w:r>
        <w:fldChar w:fldCharType="end"/>
      </w:r>
      <w:r w:rsidR="00B24749">
        <w:t xml:space="preserve"> </w:t>
      </w:r>
      <w:r w:rsidR="00C61CDB">
        <w:t xml:space="preserve">for </w:t>
      </w:r>
      <w:r w:rsidR="00B24749">
        <w:t xml:space="preserve">its area offices </w:t>
      </w:r>
      <w:r w:rsidR="00C61CDB">
        <w:t>to</w:t>
      </w:r>
      <w:r w:rsidR="00B24749">
        <w:t xml:space="preserve"> use </w:t>
      </w:r>
      <w:r w:rsidR="00C61CDB">
        <w:t xml:space="preserve">in their efforts </w:t>
      </w:r>
      <w:r w:rsidR="00B24749">
        <w:t>to enforce the agenc</w:t>
      </w:r>
      <w:r w:rsidR="00C61CDB">
        <w:t>y'</w:t>
      </w:r>
      <w:r w:rsidR="00B24749">
        <w:t xml:space="preserve">s </w:t>
      </w:r>
      <w:bookmarkStart w:id="0" w:name="_GoBack"/>
      <w:bookmarkEnd w:id="0"/>
      <w:r w:rsidR="00C61CDB">
        <w:t>workplace safety and health</w:t>
      </w:r>
      <w:r w:rsidR="00B24749">
        <w:t xml:space="preserve"> mandate</w:t>
      </w:r>
      <w:r w:rsidR="00C61CDB">
        <w:t>s. These mandates require</w:t>
      </w:r>
      <w:r w:rsidR="00B24749">
        <w:t xml:space="preserve"> </w:t>
      </w:r>
      <w:r w:rsidRPr="004C6B5B" w:rsidR="00B24749">
        <w:t xml:space="preserve">employers </w:t>
      </w:r>
      <w:r w:rsidR="00C61CDB">
        <w:t xml:space="preserve">to </w:t>
      </w:r>
      <w:r w:rsidRPr="004C6B5B" w:rsidR="00B24749">
        <w:t>take prompt actions to mitigate hazards and protect employees</w:t>
      </w:r>
      <w:r w:rsidR="00D37117">
        <w:t xml:space="preserve"> during the COVID-19 pandemic</w:t>
      </w:r>
      <w:r w:rsidR="00B24749">
        <w:t xml:space="preserve"> </w:t>
      </w:r>
    </w:p>
    <w:p w:rsidR="00630024" w:rsidP="00B24749" w14:paraId="3673210E" w14:textId="3D4A1B6C">
      <w:pPr>
        <w:pStyle w:val="BodyText"/>
      </w:pPr>
      <w:r>
        <w:t>T</w:t>
      </w:r>
      <w:r>
        <w:t>h</w:t>
      </w:r>
      <w:r w:rsidR="00C61CDB">
        <w:t>e new</w:t>
      </w:r>
      <w:r>
        <w:t xml:space="preserve"> guidance</w:t>
      </w:r>
      <w:r w:rsidR="00C61CDB">
        <w:t>, issued on April 13, 2020,</w:t>
      </w:r>
      <w:r>
        <w:t xml:space="preserve"> directs OSHA compliance officers to process most complaints </w:t>
      </w:r>
      <w:r w:rsidRPr="00B24749">
        <w:t xml:space="preserve">from non-healthcare and non-emergency response establishments as </w:t>
      </w:r>
      <w:r w:rsidR="00C61CDB">
        <w:t>“</w:t>
      </w:r>
      <w:r w:rsidRPr="00B24749">
        <w:t>non-formal</w:t>
      </w:r>
      <w:r>
        <w:t>” and to conduct investigations via</w:t>
      </w:r>
      <w:r w:rsidRPr="00B24749">
        <w:t xml:space="preserve"> phone</w:t>
      </w:r>
      <w:r>
        <w:t xml:space="preserve"> or </w:t>
      </w:r>
      <w:r w:rsidRPr="00B24749">
        <w:t>fax</w:t>
      </w:r>
      <w:r>
        <w:t xml:space="preserve"> whenever possible</w:t>
      </w:r>
      <w:r w:rsidRPr="00B24749">
        <w:t>.</w:t>
      </w:r>
      <w:r>
        <w:t xml:space="preserve"> However, employers should know that after </w:t>
      </w:r>
      <w:r w:rsidRPr="00630024">
        <w:t xml:space="preserve">receiving a serious incident report, OSHA area directors will </w:t>
      </w:r>
      <w:r>
        <w:fldChar w:fldCharType="begin"/>
      </w:r>
      <w:r>
        <w:instrText xml:space="preserve"> HYPERLINK "https://www.osha.gov/memos/2016-03-04/revised-interim-enforcement-procedures-reporting-requirements-under-29-cfr-190439" </w:instrText>
      </w:r>
      <w:r>
        <w:fldChar w:fldCharType="separate"/>
      </w:r>
      <w:r w:rsidRPr="00630024">
        <w:rPr>
          <w:rStyle w:val="Hyperlink"/>
        </w:rPr>
        <w:t>determine</w:t>
      </w:r>
      <w:r>
        <w:fldChar w:fldCharType="end"/>
      </w:r>
      <w:r w:rsidRPr="00630024">
        <w:t xml:space="preserve"> whether to conduct an inspection or a rapid response investigation (RRI)</w:t>
      </w:r>
      <w:r w:rsidR="00C61CDB">
        <w:t xml:space="preserve">. </w:t>
      </w:r>
      <w:r w:rsidRPr="00630024">
        <w:t>RRIs are intended to identify any hazards, provide abatement assistance and confirm abatement</w:t>
      </w:r>
      <w:r w:rsidR="00EC4F13">
        <w:t>, and</w:t>
      </w:r>
      <w:r w:rsidR="00C61CDB">
        <w:t xml:space="preserve"> OSHA </w:t>
      </w:r>
      <w:r>
        <w:t xml:space="preserve">generally </w:t>
      </w:r>
      <w:r w:rsidR="00C61CDB">
        <w:t xml:space="preserve">encourages area directors to recommend </w:t>
      </w:r>
      <w:r>
        <w:t>them</w:t>
      </w:r>
      <w:r w:rsidRPr="00630024">
        <w:t>.</w:t>
      </w:r>
    </w:p>
    <w:p w:rsidR="00630024" w:rsidP="00630024" w14:paraId="79C7E68E" w14:textId="21D597FB">
      <w:pPr>
        <w:pStyle w:val="BodyText"/>
      </w:pPr>
      <w:r>
        <w:t xml:space="preserve">This Compliance Bulletin provides a summary of the enforcement guidance </w:t>
      </w:r>
      <w:r w:rsidR="00C61CDB">
        <w:t xml:space="preserve">provisions </w:t>
      </w:r>
      <w:r>
        <w:t>that relate specifically to COVID-19 issues.</w:t>
      </w:r>
    </w:p>
    <w:p w:rsidR="005A1F47" w:rsidP="00630024" w14:paraId="04E4D8F0" w14:textId="77777777">
      <w:pPr>
        <w:pStyle w:val="BodyText"/>
      </w:pPr>
      <w:r>
        <w:rPr>
          <w:noProof/>
        </w:rPr>
        <mc:AlternateContent>
          <mc:Choice Requires="wpg">
            <w:drawing>
              <wp:anchor distT="0" distB="0" distL="114300" distR="114300" simplePos="0" relativeHeight="251665408" behindDoc="0" locked="0" layoutInCell="1" allowOverlap="1">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3324242" cy="367030"/>
                          <a:chOff x="15231" y="-19522"/>
                          <a:chExt cx="3324411" cy="367502"/>
                        </a:xfrm>
                      </wpg:grpSpPr>
                      <pic:pic xmlns:pic="http://schemas.openxmlformats.org/drawingml/2006/picture">
                        <pic:nvPicPr>
                          <pic:cNvPr id="33" name="Picture 3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15231" y="-19522"/>
                            <a:ext cx="3324411" cy="367502"/>
                          </a:xfrm>
                          <a:prstGeom prst="rect">
                            <a:avLst/>
                          </a:prstGeom>
                        </pic:spPr>
                      </pic:pic>
                      <wps:wsp xmlns:wps="http://schemas.microsoft.com/office/word/2010/wordprocessingShape">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rsidR="008B3699" w:rsidRPr="00A8186B" w:rsidP="008B3699" w14:textId="77777777">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6432" coordorigin="152,-195" coordsize="33244,3675">
                <v:shape id="Picture 33" o:spid="_x0000_s1034" type="#_x0000_t75" style="width:33244;height:3674;left:152;mso-wrap-style:square;position:absolute;top:-195;visibility:visible">
                  <v:imagedata r:id="rId5" o:title=""/>
                </v:shape>
                <v:shape id="Text Box 35" o:spid="_x0000_s1035" type="#_x0000_t202" style="width:24130;height:3295;left:3771;mso-wrap-style:square;position:absolute;visibility:visible;v-text-anchor:top" filled="f" stroked="f">
                  <v:textbox>
                    <w:txbxContent>
                      <w:p w:rsidR="008B3699" w:rsidRPr="00A8186B" w:rsidP="008B3699" w14:paraId="6F621897" w14:textId="77777777">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rsidR="001B200A" w:rsidP="00150559" w14:paraId="5A6332B2" w14:textId="77777777">
      <w:pPr>
        <w:pStyle w:val="Xbox"/>
        <w:numPr>
          <w:ilvl w:val="0"/>
          <w:numId w:val="0"/>
        </w:numPr>
        <w:ind w:right="270"/>
      </w:pPr>
    </w:p>
    <w:p w:rsidR="00D046CF" w:rsidP="00E52110" w14:paraId="2A9CC9C1" w14:textId="77777777">
      <w:pPr>
        <w:pStyle w:val="Xbox"/>
        <w:numPr>
          <w:ilvl w:val="0"/>
          <w:numId w:val="0"/>
        </w:numPr>
        <w:ind w:left="540" w:right="270"/>
      </w:pPr>
    </w:p>
    <w:p w:rsidR="00890A07" w:rsidRPr="00890A07" w:rsidP="00890A07" w14:paraId="5BF4CAF3" w14:textId="5CD12E81">
      <w:pPr>
        <w:pStyle w:val="BodyText"/>
        <w:sectPr w:rsidSect="008A7E71">
          <w:headerReference w:type="default" r:id="rId6"/>
          <w:footerReference w:type="default" r:id="rId7"/>
          <w:pgSz w:w="12240" w:h="15840"/>
          <w:pgMar w:top="3946" w:right="4680" w:bottom="1440" w:left="720" w:header="720" w:footer="720" w:gutter="0"/>
          <w:cols w:space="720"/>
          <w:docGrid w:linePitch="360"/>
        </w:sectPr>
      </w:pPr>
      <w:r>
        <w:rPr>
          <w:noProof/>
        </w:rPr>
        <mc:AlternateContent>
          <mc:Choice Requires="wps">
            <w:drawing>
              <wp:anchor distT="0" distB="0" distL="114300" distR="114300" simplePos="0" relativeHeight="251664384" behindDoc="0" locked="0" layoutInCell="1" allowOverlap="1">
                <wp:simplePos x="0" y="0"/>
                <wp:positionH relativeFrom="margin">
                  <wp:posOffset>-85725</wp:posOffset>
                </wp:positionH>
                <wp:positionV relativeFrom="bottomMargin">
                  <wp:align>top</wp:align>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A9581B" w:rsidP="00E6115F" w14:textId="77777777">
                            <w:pPr>
                              <w:pStyle w:val="Header"/>
                              <w:rPr>
                                <w:sz w:val="20"/>
                                <w:szCs w:val="20"/>
                              </w:rPr>
                            </w:pPr>
                            <w:r w:rsidRPr="00A9581B">
                              <w:rPr>
                                <w:color w:val="595959" w:themeColor="text1" w:themeTint="A6"/>
                                <w:sz w:val="20"/>
                                <w:szCs w:val="20"/>
                              </w:rPr>
                              <w:t xml:space="preserve">Provided to you by </w:t>
                            </w:r>
                            <w:r w:rsidRPr="00144E64">
                              <w:rPr>
                                <w:b/>
                                <w:color w:val="39945E"/>
                                <w:sz w:val="20"/>
                                <w:szCs w:val="20"/>
                              </w:rPr>
                              <w:t>Horst Insurance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width:342.1pt;height:46.85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A9581B" w:rsidP="00E6115F" w14:paraId="090521CD" w14:textId="77777777">
                      <w:pPr>
                        <w:pStyle w:val="Header"/>
                        <w:rPr>
                          <w:sz w:val="20"/>
                          <w:szCs w:val="20"/>
                        </w:rPr>
                      </w:pPr>
                      <w:r w:rsidRPr="00A9581B">
                        <w:rPr>
                          <w:color w:val="595959" w:themeColor="text1" w:themeTint="A6"/>
                          <w:sz w:val="20"/>
                          <w:szCs w:val="20"/>
                        </w:rPr>
                        <w:t xml:space="preserve">Provided to you by </w:t>
                      </w:r>
                      <w:r w:rsidRPr="00144E64">
                        <w:rPr>
                          <w:b/>
                          <w:color w:val="39945E"/>
                          <w:sz w:val="20"/>
                          <w:szCs w:val="20"/>
                        </w:rPr>
                        <w:t>Horst Insurance</w:t>
                      </w:r>
                    </w:p>
                  </w:txbxContent>
                </v:textbox>
                <w10:wrap anchorx="margin"/>
              </v:shape>
            </w:pict>
          </mc:Fallback>
        </mc:AlternateContent>
      </w:r>
      <w:r w:rsidR="00890A07">
        <w:rPr>
          <w:noProof/>
        </w:rPr>
        <w:t xml:space="preserve">Employers should use this </w:t>
      </w:r>
      <w:r w:rsidR="00C61CDB">
        <w:rPr>
          <w:noProof/>
        </w:rPr>
        <w:t>C</w:t>
      </w:r>
      <w:r w:rsidR="00890A07">
        <w:rPr>
          <w:noProof/>
        </w:rPr>
        <w:t xml:space="preserve">ompliance </w:t>
      </w:r>
      <w:r w:rsidR="00C61CDB">
        <w:rPr>
          <w:noProof/>
        </w:rPr>
        <w:t>B</w:t>
      </w:r>
      <w:r w:rsidR="00890A07">
        <w:rPr>
          <w:noProof/>
        </w:rPr>
        <w:t xml:space="preserve">ulletin to become familiar with the procedures and guidelines </w:t>
      </w:r>
      <w:r w:rsidR="00C61CDB">
        <w:rPr>
          <w:noProof/>
        </w:rPr>
        <w:t xml:space="preserve">OSHA </w:t>
      </w:r>
      <w:r w:rsidR="00890A07">
        <w:rPr>
          <w:noProof/>
        </w:rPr>
        <w:t xml:space="preserve">will use to enforce workplace safety and health laws during the COVID-19 </w:t>
      </w:r>
      <w:r w:rsidR="00C61CDB">
        <w:rPr>
          <w:noProof/>
        </w:rPr>
        <w:t>pandemic</w:t>
      </w:r>
      <w:r w:rsidR="00890A07">
        <w:rPr>
          <w:noProof/>
        </w:rPr>
        <w:t xml:space="preserve">. </w:t>
      </w:r>
      <w:r w:rsidR="00630024">
        <w:t>Employers are</w:t>
      </w:r>
      <w:r w:rsidR="00890A07">
        <w:t xml:space="preserve"> encouraged to </w:t>
      </w:r>
      <w:r w:rsidR="00630024">
        <w:t>contact their</w:t>
      </w:r>
      <w:r w:rsidR="00890A07">
        <w:t xml:space="preserve"> local OSHA area office if they have concerns or need clarification on how to comply with specific </w:t>
      </w:r>
      <w:r w:rsidR="00630024">
        <w:t>OSHA standards</w:t>
      </w:r>
      <w:r w:rsidR="00890A07">
        <w:t xml:space="preserve">. </w:t>
      </w:r>
    </w:p>
    <w:p w:rsidR="001303AF" w:rsidRPr="00B24749" w:rsidP="00325E3C" w14:paraId="591AC450" w14:textId="77777777">
      <w:pPr>
        <w:pStyle w:val="Section"/>
      </w:pPr>
      <w:r w:rsidRPr="00B24749">
        <w:t xml:space="preserve">COVID-19 </w:t>
      </w:r>
      <w:r w:rsidRPr="00B24749" w:rsidR="00B24749">
        <w:t>Inspections</w:t>
      </w:r>
    </w:p>
    <w:p w:rsidR="00B24749" w:rsidRPr="00B24749" w:rsidP="00B24749" w14:paraId="72EA0A73" w14:textId="1E414555">
      <w:pPr>
        <w:pStyle w:val="BodyText"/>
      </w:pPr>
      <w:r>
        <w:t>Under the guidance issued on April 13, 2020, OSHA’s a</w:t>
      </w:r>
      <w:r w:rsidRPr="00B24749">
        <w:t xml:space="preserve">rea offices will prioritize their resources in coordination with their regional offices to determine </w:t>
      </w:r>
      <w:r w:rsidR="00446018">
        <w:t>whether</w:t>
      </w:r>
      <w:r w:rsidRPr="00B24749">
        <w:t xml:space="preserve"> an on-site inspection</w:t>
      </w:r>
      <w:r>
        <w:t xml:space="preserve"> of </w:t>
      </w:r>
      <w:r w:rsidR="00446018">
        <w:t xml:space="preserve">the </w:t>
      </w:r>
      <w:r>
        <w:t>workplace</w:t>
      </w:r>
      <w:r w:rsidRPr="00B24749">
        <w:t xml:space="preserve"> is necessary. If an on-site inspection is warranted, compliance officers will</w:t>
      </w:r>
      <w:r w:rsidR="00890A07">
        <w:t xml:space="preserve"> </w:t>
      </w:r>
      <w:r w:rsidRPr="00B24749" w:rsidR="00890A07">
        <w:t xml:space="preserve">evaluate the risk of </w:t>
      </w:r>
      <w:r>
        <w:t xml:space="preserve">COVID-19 </w:t>
      </w:r>
      <w:r w:rsidRPr="00B24749" w:rsidR="00890A07">
        <w:t xml:space="preserve">exposure before </w:t>
      </w:r>
      <w:r>
        <w:t>the</w:t>
      </w:r>
      <w:r w:rsidRPr="00B24749" w:rsidR="00890A07">
        <w:t xml:space="preserve"> inspection takes place.</w:t>
      </w:r>
      <w:r w:rsidR="00890A07">
        <w:t xml:space="preserve"> Employers should note that OSHA </w:t>
      </w:r>
      <w:r w:rsidRPr="00B24749">
        <w:t xml:space="preserve">is encouraging their compliance officers to maximize the use of electronic means of communication (including remote video surveillance, phone interviews, email correspondence, facsimile and email transmittals of documents and video conferences) and </w:t>
      </w:r>
      <w:r w:rsidR="00DE620E">
        <w:t xml:space="preserve">to </w:t>
      </w:r>
      <w:r w:rsidRPr="00B24749">
        <w:t xml:space="preserve">consult with their regional solicitors when appropriate. </w:t>
      </w:r>
    </w:p>
    <w:p w:rsidR="00B24749" w:rsidRPr="00B24749" w:rsidP="00B24749" w14:paraId="179FD25E" w14:textId="0DDAA546">
      <w:pPr>
        <w:pStyle w:val="BodyText"/>
      </w:pPr>
      <w:r w:rsidRPr="00B24749">
        <w:t>If an on-site inspection is warranted, compliance officers will coordinate with their regional office and contact the Office of Occupational Medicine and Nursing (OOMN), as necessary, whenever they identify a workplace with potential for high-risk exposure to C</w:t>
      </w:r>
      <w:r w:rsidR="00DE620E">
        <w:t>OVID-19</w:t>
      </w:r>
      <w:r w:rsidRPr="00B24749">
        <w:t xml:space="preserve">. The OOMN may serve as a liaison with relevant public health authorities and can facilitate Medical Access Orders (MAOs) to obtain worker medical records from employers and healthcare providers. </w:t>
      </w:r>
    </w:p>
    <w:p w:rsidR="00B24749" w:rsidRPr="00B24749" w:rsidP="00B24749" w14:paraId="69562BE6" w14:textId="2D28A9CA">
      <w:pPr>
        <w:pStyle w:val="BodyText"/>
      </w:pPr>
      <w:r w:rsidRPr="00B24749">
        <w:t xml:space="preserve">COVID-19 inspections will be treated as novel cases. The Directorate of Enforcement Programs (DEP) must be notified of all proposed citations and federal agency </w:t>
      </w:r>
      <w:r w:rsidR="00D610E6">
        <w:t>n</w:t>
      </w:r>
      <w:r w:rsidRPr="00B24749">
        <w:t xml:space="preserve">otices that relate to a COVID-19 exposure. State Plan designees should report any COVID-19 inspections to their </w:t>
      </w:r>
      <w:r w:rsidR="00DE620E">
        <w:t>r</w:t>
      </w:r>
      <w:r w:rsidRPr="00B24749">
        <w:t xml:space="preserve">egional </w:t>
      </w:r>
      <w:r w:rsidR="00DE620E">
        <w:t>o</w:t>
      </w:r>
      <w:r w:rsidRPr="00B24749">
        <w:t>ffice</w:t>
      </w:r>
      <w:r w:rsidR="00DE620E">
        <w:t>s</w:t>
      </w:r>
      <w:r w:rsidRPr="00B24749">
        <w:t>.</w:t>
      </w:r>
    </w:p>
    <w:p w:rsidR="00B24749" w:rsidRPr="00B24749" w:rsidP="00B24749" w14:paraId="29DF08E6" w14:textId="456FE6AF">
      <w:pPr>
        <w:pStyle w:val="BodyText"/>
      </w:pPr>
      <w:r w:rsidRPr="00B24749">
        <w:t>All activity</w:t>
      </w:r>
      <w:r w:rsidR="00DE620E">
        <w:t xml:space="preserve"> related to </w:t>
      </w:r>
      <w:r w:rsidRPr="00B24749">
        <w:t xml:space="preserve">enforcement and compliance assistance must be appropriately coded to allow for tracking and program review. This includes COVID-19 activity, which should continue to be coded in the OSHA Information System (OIS) with the specific code: </w:t>
      </w:r>
      <w:r w:rsidRPr="00B24749">
        <w:rPr>
          <w:b/>
        </w:rPr>
        <w:t>N-16-COVID-19</w:t>
      </w:r>
      <w:r w:rsidRPr="00B24749">
        <w:t>.</w:t>
      </w:r>
    </w:p>
    <w:p w:rsidR="00E40237" w:rsidRPr="00B24749" w:rsidP="00F62890" w14:paraId="6C651A12" w14:textId="77777777">
      <w:pPr>
        <w:pStyle w:val="Section"/>
      </w:pPr>
      <w:r>
        <w:t>Workplace Exposure</w:t>
      </w:r>
      <w:r w:rsidRPr="00B24749" w:rsidR="00EA3160">
        <w:t xml:space="preserve"> Risk Levels</w:t>
      </w:r>
    </w:p>
    <w:p w:rsidR="00B24749" w:rsidP="00B24749" w14:paraId="7DA61F6B" w14:textId="77777777">
      <w:pPr>
        <w:pStyle w:val="BodyText"/>
      </w:pPr>
      <w:r>
        <w:t xml:space="preserve">To determine the risk of exposure for compliance officers, OSHA has defined three risk categories—high, medium and low. </w:t>
      </w:r>
      <w:r w:rsidRPr="00B24749">
        <w:t>The</w:t>
      </w:r>
      <w:r>
        <w:t xml:space="preserve">se risk levels stem from </w:t>
      </w:r>
      <w:r w:rsidRPr="00B24749">
        <w:t xml:space="preserve">the Occupational Risk Pyramid described in the </w:t>
      </w:r>
      <w:r>
        <w:fldChar w:fldCharType="begin"/>
      </w:r>
      <w:r>
        <w:instrText xml:space="preserve"> HYPERLINK "http://www.osha.gov/Publications/OSHA3990.pdf" </w:instrText>
      </w:r>
      <w:r>
        <w:fldChar w:fldCharType="separate"/>
      </w:r>
      <w:r w:rsidRPr="00B24749">
        <w:rPr>
          <w:rStyle w:val="Hyperlink"/>
        </w:rPr>
        <w:t>OSHA’s Guidance on Preparing Workplaces for COVID-19</w:t>
      </w:r>
      <w:r>
        <w:fldChar w:fldCharType="end"/>
      </w:r>
      <w:r w:rsidRPr="00B24749">
        <w:t>.</w:t>
      </w:r>
    </w:p>
    <w:p w:rsidR="00F62890" w:rsidP="00F62890" w14:paraId="691047E0" w14:textId="77777777">
      <w:pPr>
        <w:pStyle w:val="SubHeader"/>
      </w:pPr>
      <w:r>
        <w:t>High Risk of Exposure</w:t>
      </w:r>
    </w:p>
    <w:p w:rsidR="00325E3C" w:rsidRPr="00F62890" w:rsidP="00F62890" w14:paraId="30A24DE5" w14:textId="42048081">
      <w:pPr>
        <w:pStyle w:val="BodyText"/>
      </w:pPr>
      <w:r>
        <w:t>Jobs considered to be at h</w:t>
      </w:r>
      <w:r w:rsidRPr="00F62890">
        <w:t xml:space="preserve">igh </w:t>
      </w:r>
      <w:r>
        <w:t>or</w:t>
      </w:r>
      <w:r w:rsidRPr="00F62890">
        <w:t xml:space="preserve"> very high</w:t>
      </w:r>
      <w:r>
        <w:t xml:space="preserve"> risk of </w:t>
      </w:r>
      <w:r w:rsidRPr="00F62890">
        <w:t xml:space="preserve">exposure are those </w:t>
      </w:r>
      <w:r>
        <w:t xml:space="preserve">that involve </w:t>
      </w:r>
      <w:r w:rsidRPr="00F62890">
        <w:t xml:space="preserve">known or suspected sources of </w:t>
      </w:r>
      <w:r>
        <w:t xml:space="preserve">COVID-19 </w:t>
      </w:r>
      <w:r w:rsidRPr="00F62890">
        <w:t xml:space="preserve">during specific medical, postmortem or laboratory procedures. </w:t>
      </w:r>
    </w:p>
    <w:p w:rsidR="00325E3C" w:rsidRPr="00F62890" w:rsidP="00F62890" w14:paraId="5D9304C9" w14:textId="0C06770A">
      <w:pPr>
        <w:pStyle w:val="BodyText"/>
      </w:pPr>
      <w:r w:rsidRPr="00F62890">
        <w:t>Workplaces considered to have job duties with high risk of exposure to COVID-19 include:</w:t>
      </w:r>
    </w:p>
    <w:p w:rsidR="00325E3C" w:rsidRPr="00F62890" w:rsidP="00F62890" w14:paraId="6C2B6E81" w14:textId="41C2B00D">
      <w:pPr>
        <w:pStyle w:val="BulletListText"/>
      </w:pPr>
      <w:r w:rsidRPr="00F62890">
        <w:t>Hospitals treating suspected or confirmed COVID-19 patients</w:t>
      </w:r>
      <w:r w:rsidRPr="00F62890">
        <w:t>;</w:t>
      </w:r>
    </w:p>
    <w:p w:rsidR="00325E3C" w:rsidRPr="00F62890" w:rsidP="00F62890" w14:paraId="593B42BF" w14:textId="77777777">
      <w:pPr>
        <w:pStyle w:val="BulletListText"/>
      </w:pPr>
      <w:r w:rsidRPr="00F62890">
        <w:t>N</w:t>
      </w:r>
      <w:r w:rsidRPr="00F62890" w:rsidR="00EA3160">
        <w:t>ursing homes</w:t>
      </w:r>
      <w:r w:rsidRPr="00F62890">
        <w:t>;</w:t>
      </w:r>
    </w:p>
    <w:p w:rsidR="00325E3C" w:rsidRPr="00F62890" w:rsidP="00F62890" w14:paraId="517C8B34" w14:textId="77777777">
      <w:pPr>
        <w:pStyle w:val="BulletListText"/>
      </w:pPr>
      <w:r w:rsidRPr="00F62890">
        <w:t>E</w:t>
      </w:r>
      <w:r w:rsidRPr="00F62890" w:rsidR="00EA3160">
        <w:t>mergency medical centers</w:t>
      </w:r>
      <w:r w:rsidRPr="00F62890">
        <w:t>;</w:t>
      </w:r>
    </w:p>
    <w:p w:rsidR="00325E3C" w:rsidRPr="00F62890" w:rsidP="00F62890" w14:paraId="31F5205C" w14:textId="77777777">
      <w:pPr>
        <w:pStyle w:val="BulletListText"/>
      </w:pPr>
      <w:r w:rsidRPr="00F62890">
        <w:t>E</w:t>
      </w:r>
      <w:r w:rsidRPr="00F62890" w:rsidR="00EA3160">
        <w:t>mergency response facilities</w:t>
      </w:r>
      <w:r w:rsidRPr="00F62890">
        <w:t>;</w:t>
      </w:r>
    </w:p>
    <w:p w:rsidR="00325E3C" w:rsidRPr="00F62890" w:rsidP="00F62890" w14:paraId="23E7346D" w14:textId="77777777">
      <w:pPr>
        <w:pStyle w:val="BulletListText"/>
      </w:pPr>
      <w:r w:rsidRPr="00F62890">
        <w:t>S</w:t>
      </w:r>
      <w:r w:rsidRPr="00F62890" w:rsidR="00EA3160">
        <w:t>ettings where home care or hospice care are provided</w:t>
      </w:r>
      <w:r w:rsidRPr="00F62890">
        <w:t>;</w:t>
      </w:r>
    </w:p>
    <w:p w:rsidR="00325E3C" w:rsidRPr="00F62890" w:rsidP="00F62890" w14:paraId="77D30C9D" w14:textId="77777777">
      <w:pPr>
        <w:pStyle w:val="BulletListText"/>
      </w:pPr>
      <w:r w:rsidRPr="00F62890">
        <w:t>S</w:t>
      </w:r>
      <w:r w:rsidRPr="00F62890" w:rsidR="00EA3160">
        <w:t>ettings that handle human remains</w:t>
      </w:r>
      <w:r w:rsidRPr="00F62890">
        <w:t>;</w:t>
      </w:r>
    </w:p>
    <w:p w:rsidR="00325E3C" w:rsidRPr="00F62890" w:rsidP="00F62890" w14:paraId="7697ED20" w14:textId="77777777">
      <w:pPr>
        <w:pStyle w:val="BulletListText"/>
      </w:pPr>
      <w:r w:rsidRPr="00F62890">
        <w:t>B</w:t>
      </w:r>
      <w:r w:rsidRPr="00F62890" w:rsidR="00EA3160">
        <w:t>iomedical laboratories, including clinical laboratories</w:t>
      </w:r>
      <w:r w:rsidRPr="00F62890">
        <w:t>;</w:t>
      </w:r>
      <w:r w:rsidRPr="00F62890" w:rsidR="00EA3160">
        <w:t xml:space="preserve"> and</w:t>
      </w:r>
    </w:p>
    <w:p w:rsidR="00325E3C" w:rsidRPr="00F62890" w:rsidP="00F62890" w14:paraId="3D70DBD6" w14:textId="77777777">
      <w:pPr>
        <w:pStyle w:val="BulletListText"/>
      </w:pPr>
      <w:r w:rsidRPr="00F62890">
        <w:t>M</w:t>
      </w:r>
      <w:r w:rsidRPr="00F62890" w:rsidR="00EA3160">
        <w:t>edical transport</w:t>
      </w:r>
      <w:r w:rsidR="00DE620E">
        <w:t xml:space="preserve"> companies</w:t>
      </w:r>
      <w:r w:rsidRPr="00F62890" w:rsidR="00EA3160">
        <w:t xml:space="preserve">. </w:t>
      </w:r>
    </w:p>
    <w:p w:rsidR="00F62890" w:rsidP="00F62890" w14:paraId="2DAE7A48" w14:textId="64E8BEBC">
      <w:pPr>
        <w:pStyle w:val="BodyText"/>
      </w:pPr>
      <w:r w:rsidRPr="00F62890">
        <w:t>Aerosol-generating procedures, in particular, present a very high risk of exposure to workers. The aerosol-generating procedures for which engineering controls, administrative controls and personal protective equipment (PPE) are necessary include, but are not limited t</w:t>
      </w:r>
      <w:r w:rsidRPr="00F62890" w:rsidR="00325E3C">
        <w:t xml:space="preserve">o: </w:t>
      </w:r>
      <w:r w:rsidRPr="00F62890">
        <w:t xml:space="preserve">bronchoscopy, sputum induction, nebulizer therapy, endotracheal intubation and </w:t>
      </w:r>
      <w:r w:rsidRPr="00F62890">
        <w:t>extubation</w:t>
      </w:r>
      <w:r w:rsidRPr="00F62890">
        <w:t>, open suctioning of airways, cardiopulmonary resuscitation and autopsies.</w:t>
      </w:r>
    </w:p>
    <w:p w:rsidR="00F62890" w:rsidP="00F62890" w14:paraId="1995F852" w14:textId="77777777">
      <w:pPr>
        <w:pStyle w:val="SubHeader"/>
      </w:pPr>
      <w:r>
        <w:t xml:space="preserve">Medium Exposure Risk </w:t>
      </w:r>
    </w:p>
    <w:p w:rsidR="00325E3C" w:rsidRPr="00F62890" w:rsidP="00F62890" w14:paraId="2964254D" w14:textId="6F116723">
      <w:pPr>
        <w:pStyle w:val="BodyText"/>
      </w:pPr>
      <w:r w:rsidRPr="00F62890">
        <w:t>Medium exposure</w:t>
      </w:r>
      <w:r w:rsidR="00345D35">
        <w:t>-</w:t>
      </w:r>
      <w:r w:rsidRPr="00F62890">
        <w:t xml:space="preserve">risk jobs include those with frequent or close contact with people who may be (but are not known to be) infected with </w:t>
      </w:r>
      <w:r w:rsidR="00395EF3">
        <w:t>COVID-19</w:t>
      </w:r>
      <w:r w:rsidRPr="00F62890">
        <w:t>. “Close contact” refers to a distance of less than six feet.</w:t>
      </w:r>
      <w:r w:rsidR="0093305D">
        <w:t xml:space="preserve"> </w:t>
      </w:r>
      <w:r w:rsidRPr="00F62890">
        <w:t xml:space="preserve">Workers in this risk group may have frequent contact with travelers returning from international locations with widespread COVID-19 transmission. </w:t>
      </w:r>
    </w:p>
    <w:p w:rsidR="00F62890" w:rsidP="00F62890" w14:paraId="01F7C7B4" w14:textId="2C5E804B">
      <w:pPr>
        <w:pStyle w:val="BodyText"/>
      </w:pPr>
      <w:r w:rsidRPr="00F62890">
        <w:t>In areas where there is ongoing community transmission, workers in this category include, but are not limited to, those who have contact with the general public (</w:t>
      </w:r>
      <w:r w:rsidR="00395EF3">
        <w:t xml:space="preserve">such as in </w:t>
      </w:r>
      <w:r w:rsidRPr="00F62890">
        <w:t>schools, high-population-density work environments and some high-volume retail settings).</w:t>
      </w:r>
    </w:p>
    <w:p w:rsidR="00F62890" w:rsidP="00F62890" w14:paraId="19B4F7DE" w14:textId="77777777">
      <w:pPr>
        <w:pStyle w:val="SubHeader"/>
      </w:pPr>
      <w:r>
        <w:t>Low Exposure Risk</w:t>
      </w:r>
    </w:p>
    <w:p w:rsidR="00F62890" w:rsidP="00F62890" w14:paraId="4E95D152" w14:textId="406C95F6">
      <w:pPr>
        <w:pStyle w:val="BodyText"/>
      </w:pPr>
      <w:r>
        <w:t xml:space="preserve">Lower exposure risk jobs are those that do not require contact with people known to be, or suspected of being, infected with </w:t>
      </w:r>
      <w:r w:rsidR="00395EF3">
        <w:t>COVID-19</w:t>
      </w:r>
      <w:r>
        <w:t xml:space="preserve"> nor frequent close contact with the general public. </w:t>
      </w:r>
    </w:p>
    <w:p w:rsidR="00F62890" w:rsidP="00F62890" w14:paraId="648C272E" w14:textId="77777777">
      <w:pPr>
        <w:pStyle w:val="BodyText"/>
      </w:pPr>
      <w:r>
        <w:t>Workers in this category have minimal occupational contact with the public and other co-workers.</w:t>
      </w:r>
    </w:p>
    <w:p w:rsidR="00E40237" w:rsidRPr="00325E3C" w:rsidP="00F62890" w14:paraId="6FC7FB3B" w14:textId="77777777">
      <w:pPr>
        <w:pStyle w:val="Section"/>
      </w:pPr>
      <w:r w:rsidRPr="00325E3C">
        <w:t>Complaints, Referrals and Rapid Response Investigations (RRIs)</w:t>
      </w:r>
    </w:p>
    <w:p w:rsidR="0093305D" w:rsidP="00325E3C" w14:paraId="65FDF95F" w14:textId="0418E321">
      <w:pPr>
        <w:pStyle w:val="BodyText"/>
      </w:pPr>
      <w:r w:rsidRPr="00325E3C">
        <w:t xml:space="preserve">Complaints and referrals for any operation alleging potential exposures to </w:t>
      </w:r>
      <w:r w:rsidR="00395EF3">
        <w:t>COVID-19</w:t>
      </w:r>
      <w:r w:rsidRPr="00325E3C">
        <w:t xml:space="preserve"> </w:t>
      </w:r>
      <w:r w:rsidR="00F62890">
        <w:t>will</w:t>
      </w:r>
      <w:r w:rsidRPr="00325E3C">
        <w:t xml:space="preserve"> be handled in accordance </w:t>
      </w:r>
      <w:r w:rsidRPr="00325E3C" w:rsidR="00F62890">
        <w:t xml:space="preserve">with </w:t>
      </w:r>
      <w:r w:rsidR="00F62890">
        <w:t xml:space="preserve">established </w:t>
      </w:r>
      <w:r w:rsidRPr="00325E3C">
        <w:t>procedures, except that</w:t>
      </w:r>
      <w:r w:rsidR="00395EF3">
        <w:t xml:space="preserve"> </w:t>
      </w:r>
      <w:r w:rsidRPr="00325E3C">
        <w:t>employer</w:t>
      </w:r>
      <w:r w:rsidR="00395EF3">
        <w:t>s</w:t>
      </w:r>
      <w:r w:rsidRPr="00325E3C">
        <w:t xml:space="preserve"> will be notified of alleged hazard</w:t>
      </w:r>
      <w:r w:rsidR="00395EF3">
        <w:t>s</w:t>
      </w:r>
      <w:r w:rsidRPr="00325E3C">
        <w:t xml:space="preserve"> or violation</w:t>
      </w:r>
      <w:r w:rsidR="00395EF3">
        <w:t>s</w:t>
      </w:r>
      <w:r w:rsidRPr="00325E3C">
        <w:t xml:space="preserve"> by telephone, fax, email or letter. </w:t>
      </w:r>
    </w:p>
    <w:p w:rsidR="00325E3C" w:rsidP="00325E3C" w14:paraId="5B54A3ED" w14:textId="10FB41D2">
      <w:pPr>
        <w:pStyle w:val="BodyText"/>
      </w:pPr>
      <w:r>
        <w:t xml:space="preserve">Through their </w:t>
      </w:r>
      <w:r w:rsidRPr="00325E3C">
        <w:t>phone</w:t>
      </w:r>
      <w:r w:rsidR="00F62890">
        <w:t xml:space="preserve"> or </w:t>
      </w:r>
      <w:r w:rsidRPr="00325E3C">
        <w:t xml:space="preserve">fax </w:t>
      </w:r>
      <w:r>
        <w:t>communications</w:t>
      </w:r>
      <w:r w:rsidRPr="00325E3C">
        <w:t xml:space="preserve">, area offices will </w:t>
      </w:r>
      <w:r>
        <w:t>direct employers</w:t>
      </w:r>
      <w:r w:rsidRPr="00325E3C">
        <w:t xml:space="preserve"> to publicly available guidance on protective measures, such as OSHA’s COVID-19 </w:t>
      </w:r>
      <w:r>
        <w:fldChar w:fldCharType="begin"/>
      </w:r>
      <w:r>
        <w:instrText xml:space="preserve"> HYPERLINK "http://www.osha.gov/coronavirus" </w:instrText>
      </w:r>
      <w:r>
        <w:fldChar w:fldCharType="separate"/>
      </w:r>
      <w:r w:rsidRPr="00325E3C">
        <w:rPr>
          <w:rStyle w:val="Hyperlink"/>
        </w:rPr>
        <w:t>webpage</w:t>
      </w:r>
      <w:r>
        <w:fldChar w:fldCharType="end"/>
      </w:r>
      <w:r w:rsidRPr="00325E3C">
        <w:t xml:space="preserve">. </w:t>
      </w:r>
      <w:r w:rsidR="00395EF3">
        <w:t xml:space="preserve">As it deems appropriate, </w:t>
      </w:r>
      <w:r w:rsidRPr="00325E3C">
        <w:t>OSHA will forward complaint information to federal partners with concurrent interests.</w:t>
      </w:r>
    </w:p>
    <w:p w:rsidR="00F62890" w:rsidRPr="00325E3C" w:rsidP="00630024" w14:paraId="5921A2F2" w14:textId="77777777">
      <w:pPr>
        <w:pStyle w:val="Section"/>
      </w:pPr>
      <w:r>
        <w:t>Fatalities and Imminent Dangers</w:t>
      </w:r>
    </w:p>
    <w:p w:rsidR="00630024" w:rsidP="00325E3C" w14:paraId="7A7514AC" w14:textId="74AE976A">
      <w:pPr>
        <w:pStyle w:val="BodyText"/>
      </w:pPr>
      <w:r w:rsidRPr="00325E3C">
        <w:t xml:space="preserve">Fatalities and </w:t>
      </w:r>
      <w:r w:rsidRPr="00F62890">
        <w:t>imminent danger exposures</w:t>
      </w:r>
      <w:r w:rsidRPr="00325E3C">
        <w:t xml:space="preserve"> related to COVID-19 will be prioritized for inspections, with particular attention given to health</w:t>
      </w:r>
      <w:r w:rsidR="007359E8">
        <w:t xml:space="preserve"> </w:t>
      </w:r>
      <w:r w:rsidRPr="00325E3C">
        <w:t xml:space="preserve">care organizations and first responders. </w:t>
      </w:r>
    </w:p>
    <w:p w:rsidR="00630024" w:rsidP="00325E3C" w14:paraId="78A706DD" w14:textId="508D3A5D">
      <w:pPr>
        <w:pStyle w:val="BodyText"/>
      </w:pPr>
      <w:r w:rsidRPr="00325E3C">
        <w:t>During th</w:t>
      </w:r>
      <w:r w:rsidR="00395EF3">
        <w:t>e</w:t>
      </w:r>
      <w:r w:rsidRPr="00325E3C">
        <w:t xml:space="preserve"> outbreak, formal complaints alleging unprotected exposures to COVID-19 for workers with a high</w:t>
      </w:r>
      <w:r>
        <w:t xml:space="preserve"> or </w:t>
      </w:r>
      <w:r w:rsidRPr="00325E3C">
        <w:t xml:space="preserve">very high risk of transmission may warrant an on-site inspection. Area offices will prioritize resources and consider all relevant factors, </w:t>
      </w:r>
      <w:r>
        <w:t>including</w:t>
      </w:r>
      <w:r w:rsidRPr="00325E3C">
        <w:t xml:space="preserve"> whether </w:t>
      </w:r>
      <w:r w:rsidR="00395EF3">
        <w:t>a</w:t>
      </w:r>
      <w:r w:rsidRPr="00325E3C">
        <w:t xml:space="preserve"> complainant alleges inadequate PPE due to supply issues, in determining whether to perform a non-formal phone</w:t>
      </w:r>
      <w:r>
        <w:t xml:space="preserve"> or </w:t>
      </w:r>
      <w:r w:rsidRPr="00325E3C">
        <w:t xml:space="preserve">fax investigation instead of an on-site inspection. </w:t>
      </w:r>
    </w:p>
    <w:p w:rsidR="00630024" w:rsidP="00630024" w14:paraId="3ABF3A35" w14:textId="77777777">
      <w:pPr>
        <w:pStyle w:val="Section"/>
      </w:pPr>
      <w:r>
        <w:t>Other Formal Complaints</w:t>
      </w:r>
    </w:p>
    <w:p w:rsidR="00325E3C" w:rsidP="00325E3C" w14:paraId="5528C8B6" w14:textId="58D4B6A3">
      <w:pPr>
        <w:pStyle w:val="BodyText"/>
      </w:pPr>
      <w:r>
        <w:t>In general, most</w:t>
      </w:r>
      <w:r w:rsidRPr="00325E3C">
        <w:t xml:space="preserve"> </w:t>
      </w:r>
      <w:r w:rsidRPr="007624A0">
        <w:t>other formal complaints</w:t>
      </w:r>
      <w:r w:rsidRPr="00325E3C">
        <w:t xml:space="preserve"> alleging </w:t>
      </w:r>
      <w:r>
        <w:t>COVID-19</w:t>
      </w:r>
      <w:r w:rsidRPr="00325E3C">
        <w:t xml:space="preserve"> exposure</w:t>
      </w:r>
      <w:r>
        <w:t xml:space="preserve"> will not </w:t>
      </w:r>
      <w:r w:rsidRPr="00325E3C">
        <w:t>result in an on-site inspection</w:t>
      </w:r>
      <w:r>
        <w:t xml:space="preserve"> if</w:t>
      </w:r>
      <w:r w:rsidRPr="00325E3C">
        <w:t xml:space="preserve"> employees are engaged</w:t>
      </w:r>
      <w:r>
        <w:t xml:space="preserve"> in tasks that involve </w:t>
      </w:r>
      <w:r w:rsidRPr="00325E3C">
        <w:t xml:space="preserve">medium or lower </w:t>
      </w:r>
      <w:r>
        <w:t xml:space="preserve">risk of </w:t>
      </w:r>
      <w:r w:rsidRPr="00325E3C">
        <w:t xml:space="preserve">exposure. In these cases, area offices will use the non-formal procedures for investigating alleged hazards. </w:t>
      </w:r>
    </w:p>
    <w:p w:rsidR="00325E3C" w:rsidRPr="00325E3C" w:rsidP="00325E3C" w14:paraId="18A8D692" w14:textId="736F626E">
      <w:pPr>
        <w:pStyle w:val="BodyText"/>
      </w:pPr>
      <w:r>
        <w:t xml:space="preserve">However, </w:t>
      </w:r>
      <w:r w:rsidR="00630024">
        <w:t>e</w:t>
      </w:r>
      <w:r w:rsidRPr="00325E3C">
        <w:t xml:space="preserve">mployer-reported hospitalizations will be handled using </w:t>
      </w:r>
      <w:r w:rsidR="00630024">
        <w:t>RRIs</w:t>
      </w:r>
      <w:r>
        <w:t xml:space="preserve"> in most cases</w:t>
      </w:r>
      <w:r w:rsidR="00630024">
        <w:t xml:space="preserve">. </w:t>
      </w:r>
    </w:p>
    <w:p w:rsidR="00325E3C" w:rsidRPr="00325E3C" w:rsidP="00325E3C" w14:paraId="203C5A76" w14:textId="4DB7C0C4">
      <w:pPr>
        <w:pStyle w:val="BodyText"/>
      </w:pPr>
      <w:r w:rsidRPr="00325E3C">
        <w:t xml:space="preserve">Finally, </w:t>
      </w:r>
      <w:r w:rsidR="00395EF3">
        <w:t>e</w:t>
      </w:r>
      <w:r w:rsidRPr="00325E3C">
        <w:t xml:space="preserve">mployers should </w:t>
      </w:r>
      <w:r w:rsidR="00395EF3">
        <w:t xml:space="preserve">keep in mind </w:t>
      </w:r>
      <w:r w:rsidRPr="00325E3C">
        <w:t xml:space="preserve">that workers requesting inspections, complaining of COVID-19 exposure or reporting illnesses may be covered under one or more </w:t>
      </w:r>
      <w:r>
        <w:fldChar w:fldCharType="begin"/>
      </w:r>
      <w:r>
        <w:instrText xml:space="preserve"> HYPERLINK "http://www.whistleblowers.gov" </w:instrText>
      </w:r>
      <w:r>
        <w:fldChar w:fldCharType="separate"/>
      </w:r>
      <w:r w:rsidRPr="00325E3C">
        <w:rPr>
          <w:rStyle w:val="Hyperlink"/>
        </w:rPr>
        <w:t>whistleblower</w:t>
      </w:r>
      <w:r>
        <w:fldChar w:fldCharType="end"/>
      </w:r>
      <w:r w:rsidRPr="00325E3C">
        <w:t xml:space="preserve"> statutes. </w:t>
      </w:r>
    </w:p>
    <w:p w:rsidR="00325E3C" w:rsidRPr="00325E3C" w:rsidP="0052727D" w14:paraId="466715EB" w14:textId="77777777">
      <w:pPr>
        <w:pStyle w:val="Section"/>
      </w:pPr>
      <w:r w:rsidRPr="00325E3C">
        <w:t xml:space="preserve">Inspection Scope, Scheduling, and </w:t>
      </w:r>
      <w:r w:rsidRPr="00630024">
        <w:t>Procedures</w:t>
      </w:r>
    </w:p>
    <w:p w:rsidR="00325E3C" w:rsidRPr="00325E3C" w:rsidP="00325E3C" w14:paraId="7BC0A2EC" w14:textId="4EDFD893">
      <w:pPr>
        <w:pStyle w:val="BodyText"/>
      </w:pPr>
      <w:r w:rsidRPr="00325E3C">
        <w:t xml:space="preserve">Inspection activities </w:t>
      </w:r>
      <w:r w:rsidR="00395EF3">
        <w:t xml:space="preserve">resulting from </w:t>
      </w:r>
      <w:r w:rsidRPr="00325E3C">
        <w:t>COVID-19-related complaints</w:t>
      </w:r>
      <w:r w:rsidR="0052727D">
        <w:t xml:space="preserve">, </w:t>
      </w:r>
      <w:r w:rsidRPr="00325E3C">
        <w:t xml:space="preserve">referrals and employer-reported illnesses will primarily focus on facilities with </w:t>
      </w:r>
      <w:r w:rsidR="00395EF3">
        <w:t xml:space="preserve">jobs involving </w:t>
      </w:r>
      <w:r w:rsidRPr="00325E3C">
        <w:t xml:space="preserve">high and very high </w:t>
      </w:r>
      <w:r w:rsidR="00395EF3">
        <w:t xml:space="preserve">risk of </w:t>
      </w:r>
      <w:r w:rsidRPr="00325E3C">
        <w:t>exposure.</w:t>
      </w:r>
      <w:r w:rsidR="00630024">
        <w:t xml:space="preserve"> OSHA </w:t>
      </w:r>
      <w:r w:rsidR="00FB4BB3">
        <w:t xml:space="preserve">aims to </w:t>
      </w:r>
      <w:r w:rsidR="00630024">
        <w:t>reassure employers that, during on-site inspections, compliance officers will take care to avoid interfering with any ongoing medical services.</w:t>
      </w:r>
    </w:p>
    <w:p w:rsidR="00325E3C" w:rsidRPr="00325E3C" w:rsidP="00325E3C" w14:paraId="28372DAC" w14:textId="46C3410E">
      <w:pPr>
        <w:pStyle w:val="BodyText"/>
      </w:pPr>
      <w:r w:rsidRPr="00325E3C">
        <w:t>Compliance officers will inspect facilities in a manner that minimizes or prevents exposure,</w:t>
      </w:r>
      <w:r w:rsidR="00FB4BB3">
        <w:t xml:space="preserve"> such as by </w:t>
      </w:r>
      <w:r w:rsidRPr="00325E3C">
        <w:t>avoiding potential exposure to suspected or confirmed COVID-19 patients. It is not generally necessary for compliance officers to enter patient rooms or airborne isolation areas. If compliance officers must enter a vacant</w:t>
      </w:r>
      <w:r w:rsidR="00FB4BB3">
        <w:t>,</w:t>
      </w:r>
      <w:r w:rsidRPr="00325E3C">
        <w:t xml:space="preserve"> airborne</w:t>
      </w:r>
      <w:r w:rsidR="00FB4BB3">
        <w:t>-</w:t>
      </w:r>
      <w:r w:rsidRPr="00325E3C">
        <w:t>infection</w:t>
      </w:r>
      <w:r w:rsidR="00FB4BB3">
        <w:t>-</w:t>
      </w:r>
      <w:r w:rsidRPr="00325E3C">
        <w:t xml:space="preserve">isolation room (AIIR), sufficient time must lapse to allow for proper clearance of potentially infectious aerosols before </w:t>
      </w:r>
      <w:r w:rsidR="0003332B">
        <w:t xml:space="preserve">they </w:t>
      </w:r>
      <w:r w:rsidRPr="00325E3C">
        <w:t xml:space="preserve">enter. </w:t>
      </w:r>
      <w:r w:rsidR="0003332B">
        <w:t>Before</w:t>
      </w:r>
      <w:r w:rsidRPr="00325E3C">
        <w:t xml:space="preserve"> entering an occupied AIIR or a recently vacated AIIR that has not been adequately purged, a compliance officer must discuss the issue with his or her area director. </w:t>
      </w:r>
    </w:p>
    <w:p w:rsidR="0052727D" w:rsidRPr="00325E3C" w:rsidP="0052727D" w14:paraId="67DFF5BA" w14:textId="77777777">
      <w:pPr>
        <w:pStyle w:val="SubHeader"/>
      </w:pPr>
      <w:r w:rsidRPr="00325E3C">
        <w:t>Opening Conference</w:t>
      </w:r>
      <w:r>
        <w:t>s</w:t>
      </w:r>
    </w:p>
    <w:p w:rsidR="0052727D" w:rsidP="0052727D" w14:paraId="15E2BD09" w14:textId="5294FC53">
      <w:pPr>
        <w:pStyle w:val="BodyText"/>
      </w:pPr>
      <w:r>
        <w:t xml:space="preserve">To avoid unnecessary exposure, compliance officers may decide to conduct opening conferences over the phone. However, if an on-site opening conference is deemed appropriate, officers will </w:t>
      </w:r>
      <w:r w:rsidRPr="00785481">
        <w:t xml:space="preserve">attempt to </w:t>
      </w:r>
      <w:r>
        <w:t>use</w:t>
      </w:r>
      <w:r w:rsidRPr="00785481">
        <w:t xml:space="preserve"> a designated, uncontaminated administrative area.</w:t>
      </w:r>
      <w:r>
        <w:t xml:space="preserve"> If available, officers may also ask to </w:t>
      </w:r>
      <w:r w:rsidRPr="00785481">
        <w:t xml:space="preserve">speak to </w:t>
      </w:r>
      <w:r w:rsidR="00FB4BB3">
        <w:t xml:space="preserve">a </w:t>
      </w:r>
      <w:r>
        <w:t xml:space="preserve">facility’s </w:t>
      </w:r>
      <w:r w:rsidRPr="00785481">
        <w:t>infection control director, safety director</w:t>
      </w:r>
      <w:r>
        <w:t xml:space="preserve"> or</w:t>
      </w:r>
      <w:r w:rsidRPr="00785481">
        <w:t xml:space="preserve"> the health professional responsible for </w:t>
      </w:r>
      <w:r w:rsidR="00FB4BB3">
        <w:t xml:space="preserve">controlling </w:t>
      </w:r>
      <w:r w:rsidRPr="00785481">
        <w:t>occupational health hazard</w:t>
      </w:r>
      <w:r w:rsidR="00FB4BB3">
        <w:t>s</w:t>
      </w:r>
      <w:r w:rsidRPr="00785481">
        <w:t xml:space="preserve">. </w:t>
      </w:r>
      <w:r w:rsidR="00FB4BB3">
        <w:t>I</w:t>
      </w:r>
      <w:r w:rsidRPr="00785481">
        <w:t xml:space="preserve">ndividuals </w:t>
      </w:r>
      <w:r w:rsidR="00FB4BB3">
        <w:t xml:space="preserve">who are </w:t>
      </w:r>
      <w:r w:rsidRPr="00785481">
        <w:t xml:space="preserve">responsible for providing records pertinent to </w:t>
      </w:r>
      <w:r w:rsidR="00FB4BB3">
        <w:t>an</w:t>
      </w:r>
      <w:r w:rsidRPr="00785481">
        <w:t xml:space="preserve"> inspection </w:t>
      </w:r>
      <w:r>
        <w:t>may</w:t>
      </w:r>
      <w:r w:rsidRPr="00785481">
        <w:t xml:space="preserve"> also be included in the opening conference or interviewed early in the inspection</w:t>
      </w:r>
      <w:r w:rsidR="00FB4BB3">
        <w:t xml:space="preserve">. These individuals may include, for example, </w:t>
      </w:r>
      <w:r w:rsidRPr="00785481">
        <w:t>facility administrator</w:t>
      </w:r>
      <w:r>
        <w:t>s</w:t>
      </w:r>
      <w:r w:rsidRPr="00785481">
        <w:t>, training director</w:t>
      </w:r>
      <w:r>
        <w:t>s</w:t>
      </w:r>
      <w:r w:rsidRPr="00785481">
        <w:t>, facilities engineer</w:t>
      </w:r>
      <w:r>
        <w:t>s</w:t>
      </w:r>
      <w:r w:rsidRPr="00785481">
        <w:t xml:space="preserve">, </w:t>
      </w:r>
      <w:r>
        <w:t xml:space="preserve">nursing </w:t>
      </w:r>
      <w:r w:rsidRPr="00785481">
        <w:t>director</w:t>
      </w:r>
      <w:r>
        <w:t xml:space="preserve">s and </w:t>
      </w:r>
      <w:r w:rsidRPr="00785481">
        <w:t>human resources</w:t>
      </w:r>
      <w:r>
        <w:t xml:space="preserve"> personnel</w:t>
      </w:r>
      <w:r w:rsidRPr="00785481">
        <w:t>.</w:t>
      </w:r>
    </w:p>
    <w:p w:rsidR="0052727D" w:rsidRPr="00325E3C" w:rsidP="0052727D" w14:paraId="367ABB4A" w14:textId="77777777">
      <w:pPr>
        <w:pStyle w:val="SubHeader"/>
      </w:pPr>
      <w:r w:rsidRPr="00325E3C">
        <w:t>Program and Document Review</w:t>
      </w:r>
    </w:p>
    <w:p w:rsidR="0052727D" w:rsidP="0052727D" w14:paraId="1D6FE87E" w14:textId="38A0D2EC">
      <w:pPr>
        <w:pStyle w:val="BodyText"/>
      </w:pPr>
      <w:r>
        <w:t xml:space="preserve">Compliance officers will strive to conduct the following electronically or remotely: </w:t>
      </w:r>
    </w:p>
    <w:p w:rsidR="0052727D" w:rsidP="0052727D" w14:paraId="6936DEBF" w14:textId="4BA39937">
      <w:pPr>
        <w:pStyle w:val="BulletListText"/>
      </w:pPr>
      <w:r>
        <w:t>Determin</w:t>
      </w:r>
      <w:r w:rsidR="00FB4BB3">
        <w:t>ing</w:t>
      </w:r>
      <w:r>
        <w:t xml:space="preserve"> whether</w:t>
      </w:r>
      <w:r w:rsidR="00FB4BB3">
        <w:t xml:space="preserve"> an </w:t>
      </w:r>
      <w:r>
        <w:t>employer has a written pandemic plan as recommended by the C</w:t>
      </w:r>
      <w:r w:rsidR="00FB4BB3">
        <w:t>enters for Disease Control and Prevention (C</w:t>
      </w:r>
      <w:r>
        <w:t>DC</w:t>
      </w:r>
      <w:r w:rsidR="00FB4BB3">
        <w:t>)</w:t>
      </w:r>
      <w:r>
        <w:t xml:space="preserve">. If </w:t>
      </w:r>
      <w:r w:rsidR="00FB4BB3">
        <w:t xml:space="preserve">an employer’s </w:t>
      </w:r>
      <w:r>
        <w:t xml:space="preserve">plan is a part of another emergency preparedness plan, </w:t>
      </w:r>
      <w:r w:rsidR="00FB4BB3">
        <w:t xml:space="preserve">a compliance officer’s </w:t>
      </w:r>
      <w:r>
        <w:t>review does not need to be expanded to the entire emergency preparedness plan. The evaluation of an employer’s pandemic plan may be based on other written programs and, in a hospital, a review of</w:t>
      </w:r>
      <w:r w:rsidR="00FB4BB3">
        <w:t xml:space="preserve"> its</w:t>
      </w:r>
      <w:r>
        <w:t xml:space="preserve"> infection control plan.</w:t>
      </w:r>
    </w:p>
    <w:p w:rsidR="0052727D" w:rsidP="0052727D" w14:paraId="790C2F55" w14:textId="77777777">
      <w:pPr>
        <w:pStyle w:val="BulletListText"/>
      </w:pPr>
      <w:r>
        <w:t>Review</w:t>
      </w:r>
      <w:r w:rsidR="00FB4BB3">
        <w:t>ing</w:t>
      </w:r>
      <w:r>
        <w:t xml:space="preserve"> the facility’s procedures for hazard assessment and protocols for PPE use with suspected or confirmed COVID-19 patients.</w:t>
      </w:r>
    </w:p>
    <w:p w:rsidR="0052727D" w:rsidP="0052727D" w14:paraId="6380C9EF" w14:textId="06CDB2D4">
      <w:pPr>
        <w:pStyle w:val="BulletListText"/>
      </w:pPr>
      <w:r>
        <w:t>Determin</w:t>
      </w:r>
      <w:r w:rsidR="00FB4BB3">
        <w:t xml:space="preserve">ing </w:t>
      </w:r>
      <w:r>
        <w:t xml:space="preserve">whether </w:t>
      </w:r>
      <w:r w:rsidR="00FB4BB3">
        <w:t>a</w:t>
      </w:r>
      <w:r>
        <w:t xml:space="preserve"> workplace has handled specimens or evaluated, cared for, or treated suspected or confirmed COVID-19 patients. This </w:t>
      </w:r>
      <w:r w:rsidR="00FB4BB3">
        <w:t xml:space="preserve">will </w:t>
      </w:r>
      <w:r>
        <w:t>include a review of laboratory procedures for handling specimens and procedures for decontamination of surfaces.</w:t>
      </w:r>
    </w:p>
    <w:p w:rsidR="0052727D" w:rsidP="0052727D" w14:paraId="5ECFD1FB" w14:textId="58034F28">
      <w:pPr>
        <w:pStyle w:val="BulletListText"/>
      </w:pPr>
      <w:r>
        <w:t>Review</w:t>
      </w:r>
      <w:r w:rsidR="00FB4BB3">
        <w:t>ing</w:t>
      </w:r>
      <w:r>
        <w:t xml:space="preserve"> other relevant information, such as medical records related to worker exposure incidents, OSHA-required recordkeeping and any other pertinent information or documentation deemed appropriate by </w:t>
      </w:r>
      <w:r w:rsidR="00FB4BB3">
        <w:t>a</w:t>
      </w:r>
      <w:r>
        <w:t xml:space="preserve"> compliance officer. This includes determining whether any employees have contracted COVID-19, have been hospitalized as a result of COVID-19, or have been placed on precautionary removal</w:t>
      </w:r>
      <w:r w:rsidR="00FB4BB3">
        <w:t xml:space="preserve"> or </w:t>
      </w:r>
      <w:r>
        <w:t>isolation.</w:t>
      </w:r>
    </w:p>
    <w:p w:rsidR="0052727D" w:rsidP="0052727D" w14:paraId="65B76332" w14:textId="417175D9">
      <w:pPr>
        <w:pStyle w:val="BulletListText"/>
      </w:pPr>
      <w:r>
        <w:t>Review</w:t>
      </w:r>
      <w:r w:rsidR="00FB4BB3">
        <w:t>ing</w:t>
      </w:r>
      <w:r>
        <w:t xml:space="preserve"> </w:t>
      </w:r>
      <w:r w:rsidR="008057D8">
        <w:t>a</w:t>
      </w:r>
      <w:r>
        <w:t xml:space="preserve"> respiratory protection program and any modified respirator policies related to COVID-19 </w:t>
      </w:r>
      <w:r w:rsidR="008057D8">
        <w:t xml:space="preserve">to </w:t>
      </w:r>
      <w:r>
        <w:t>assess compliance with</w:t>
      </w:r>
      <w:r w:rsidR="00FB4BB3">
        <w:t xml:space="preserve"> respiratory protection standards.</w:t>
      </w:r>
    </w:p>
    <w:p w:rsidR="0052727D" w:rsidP="0052727D" w14:paraId="47656D46" w14:textId="38C2D841">
      <w:pPr>
        <w:pStyle w:val="BulletListText"/>
      </w:pPr>
      <w:r>
        <w:t>Review</w:t>
      </w:r>
      <w:r w:rsidR="008057D8">
        <w:t>ing</w:t>
      </w:r>
      <w:r>
        <w:t xml:space="preserve"> employee training records, including any records of training related to COVID-19 exposure prevention</w:t>
      </w:r>
      <w:r w:rsidR="008057D8">
        <w:t xml:space="preserve"> or made </w:t>
      </w:r>
      <w:r>
        <w:t>in preparation for a pandemic, if available.</w:t>
      </w:r>
    </w:p>
    <w:p w:rsidR="0052727D" w:rsidP="0052727D" w14:paraId="191DF6CA" w14:textId="25EF07F6">
      <w:pPr>
        <w:pStyle w:val="BulletListText"/>
      </w:pPr>
      <w:r>
        <w:t>Review</w:t>
      </w:r>
      <w:r w:rsidR="008057D8">
        <w:t>ing</w:t>
      </w:r>
      <w:r>
        <w:t xml:space="preserve"> </w:t>
      </w:r>
      <w:r w:rsidR="008057D8">
        <w:t xml:space="preserve">employer </w:t>
      </w:r>
      <w:r>
        <w:t>documentation of provisions made to obtain and provide appropriate and adequate supplies of PPE.</w:t>
      </w:r>
    </w:p>
    <w:p w:rsidR="0052727D" w:rsidP="0052727D" w14:paraId="2D916D7D" w14:textId="5E39B8BB">
      <w:pPr>
        <w:pStyle w:val="BulletListText"/>
      </w:pPr>
      <w:r>
        <w:t>Determin</w:t>
      </w:r>
      <w:r w:rsidR="008057D8">
        <w:t>ing</w:t>
      </w:r>
      <w:r>
        <w:t xml:space="preserve"> </w:t>
      </w:r>
      <w:r w:rsidR="0003332B">
        <w:t>whether</w:t>
      </w:r>
      <w:r>
        <w:t xml:space="preserve"> </w:t>
      </w:r>
      <w:r w:rsidR="008057D8">
        <w:t xml:space="preserve">a </w:t>
      </w:r>
      <w:r>
        <w:t>facility has airborne infection isolation rooms</w:t>
      </w:r>
      <w:r w:rsidR="008057D8">
        <w:t xml:space="preserve"> or </w:t>
      </w:r>
      <w:r>
        <w:t>areas and gather</w:t>
      </w:r>
      <w:r w:rsidR="008057D8">
        <w:t>ing</w:t>
      </w:r>
      <w:r>
        <w:t xml:space="preserve"> information about</w:t>
      </w:r>
      <w:r w:rsidR="008057D8">
        <w:t xml:space="preserve"> an</w:t>
      </w:r>
      <w:r>
        <w:t xml:space="preserve"> employer’s use of air pressure monitoring systems and any periodic testing procedures. </w:t>
      </w:r>
      <w:r w:rsidR="008057D8">
        <w:t>This also includes r</w:t>
      </w:r>
      <w:r>
        <w:t>eview</w:t>
      </w:r>
      <w:r w:rsidR="008057D8">
        <w:t>ing</w:t>
      </w:r>
      <w:r>
        <w:t xml:space="preserve"> any procedures for assigning patients to those rooms</w:t>
      </w:r>
      <w:r w:rsidR="008057D8">
        <w:t xml:space="preserve"> or </w:t>
      </w:r>
      <w:r>
        <w:t>areas and procedures to limit access to th</w:t>
      </w:r>
      <w:r w:rsidR="008057D8">
        <w:t xml:space="preserve">em by </w:t>
      </w:r>
      <w:r>
        <w:t>employees who are</w:t>
      </w:r>
      <w:r w:rsidR="008057D8">
        <w:t xml:space="preserve"> not</w:t>
      </w:r>
      <w:r>
        <w:t xml:space="preserve"> trained</w:t>
      </w:r>
      <w:r w:rsidR="008057D8">
        <w:t xml:space="preserve"> or</w:t>
      </w:r>
      <w:r>
        <w:t xml:space="preserve"> adequately outfitted with PPE.</w:t>
      </w:r>
    </w:p>
    <w:p w:rsidR="0052727D" w:rsidP="0052727D" w14:paraId="3F22208A" w14:textId="6F8F75C7">
      <w:pPr>
        <w:pStyle w:val="BulletListText"/>
      </w:pPr>
      <w:r>
        <w:t>Review</w:t>
      </w:r>
      <w:r w:rsidR="008057D8">
        <w:t>ing an employer’s</w:t>
      </w:r>
      <w:r>
        <w:t xml:space="preserve"> procedures for transferring patients to other facilities in situations where appropriate isolation rooms</w:t>
      </w:r>
      <w:r w:rsidR="008057D8">
        <w:t xml:space="preserve"> or </w:t>
      </w:r>
      <w:r>
        <w:t xml:space="preserve">areas are unavailable or inoperable. </w:t>
      </w:r>
      <w:r w:rsidR="008057D8">
        <w:t xml:space="preserve">This includes </w:t>
      </w:r>
      <w:r>
        <w:t>review</w:t>
      </w:r>
      <w:r w:rsidR="008057D8">
        <w:t>ing</w:t>
      </w:r>
      <w:r>
        <w:t xml:space="preserve"> procedures for transferring COVID-19 patients from other facilities.</w:t>
      </w:r>
    </w:p>
    <w:p w:rsidR="0052727D" w:rsidP="0052727D" w14:paraId="1B471697" w14:textId="77777777">
      <w:pPr>
        <w:pStyle w:val="BulletListText"/>
      </w:pPr>
      <w:r>
        <w:t>Establish</w:t>
      </w:r>
      <w:r w:rsidR="008057D8">
        <w:t>ing</w:t>
      </w:r>
      <w:r>
        <w:t xml:space="preserve"> the numbers and placements of confirmed and suspected COVID-19 patients under isolation at the time of</w:t>
      </w:r>
      <w:r w:rsidR="008057D8">
        <w:t xml:space="preserve"> an</w:t>
      </w:r>
      <w:r>
        <w:t xml:space="preserve"> inspection.</w:t>
      </w:r>
    </w:p>
    <w:p w:rsidR="0052727D" w:rsidP="0052727D" w14:paraId="113A6B23" w14:textId="6DA63406">
      <w:pPr>
        <w:pStyle w:val="BulletListText"/>
      </w:pPr>
      <w:r>
        <w:t>Establish</w:t>
      </w:r>
      <w:r w:rsidR="008057D8">
        <w:t>ing</w:t>
      </w:r>
      <w:r>
        <w:t xml:space="preserve"> pattern</w:t>
      </w:r>
      <w:r w:rsidR="008057D8">
        <w:t>s</w:t>
      </w:r>
      <w:r>
        <w:t xml:space="preserve"> of placements for confirmed and suspected COVID-19 patients in the preceding 30 days.</w:t>
      </w:r>
    </w:p>
    <w:p w:rsidR="0052727D" w:rsidP="0052727D" w14:paraId="092CCDBF" w14:textId="366AC9AE">
      <w:pPr>
        <w:pStyle w:val="BulletListText"/>
      </w:pPr>
      <w:r>
        <w:t>Determin</w:t>
      </w:r>
      <w:r w:rsidR="008057D8">
        <w:t>ing</w:t>
      </w:r>
      <w:r>
        <w:t xml:space="preserve"> and document</w:t>
      </w:r>
      <w:r w:rsidR="008057D8">
        <w:t>ing</w:t>
      </w:r>
      <w:r>
        <w:t xml:space="preserve"> whether</w:t>
      </w:r>
      <w:r w:rsidR="008057D8">
        <w:t xml:space="preserve"> an</w:t>
      </w:r>
      <w:r>
        <w:t xml:space="preserve"> employer has considered or implemented a hierarchy of controls for worker protection. </w:t>
      </w:r>
      <w:r w:rsidR="008057D8">
        <w:t>This d</w:t>
      </w:r>
      <w:r>
        <w:t>ocumentation can be done with photos or design specifications.</w:t>
      </w:r>
    </w:p>
    <w:p w:rsidR="0052727D" w:rsidRPr="00325E3C" w:rsidP="0052727D" w14:paraId="16DDDC6D" w14:textId="77777777">
      <w:pPr>
        <w:pStyle w:val="SubHeader"/>
      </w:pPr>
      <w:r w:rsidRPr="00325E3C">
        <w:t>Walkaround</w:t>
      </w:r>
    </w:p>
    <w:p w:rsidR="0052727D" w:rsidP="0052727D" w14:paraId="585DF260" w14:textId="7ADF390C">
      <w:pPr>
        <w:pStyle w:val="BodyText"/>
      </w:pPr>
      <w:r>
        <w:t xml:space="preserve">Based on information from program and document review and interviews, compliance officers will use professional judgment in determining which areas of </w:t>
      </w:r>
      <w:r w:rsidR="008057D8">
        <w:t>a</w:t>
      </w:r>
      <w:r>
        <w:t xml:space="preserve"> facility will be inspected. Compliance officers will avoid entering patient rooms or treatment areas while high</w:t>
      </w:r>
      <w:r w:rsidR="008057D8">
        <w:t>-</w:t>
      </w:r>
      <w:r>
        <w:t xml:space="preserve">hazard procedures are being conducted. </w:t>
      </w:r>
    </w:p>
    <w:p w:rsidR="0052727D" w:rsidP="0052727D" w14:paraId="2728303B" w14:textId="77777777">
      <w:pPr>
        <w:pStyle w:val="BodyText"/>
      </w:pPr>
      <w:r>
        <w:t>Where practical, photographs or videotaping may be used for case documentation. However, compliance officers will take all necessary precautions to assure and protect patient privacy and confidentiality. Throughout their engagement with facilities treating a significant number of COVID-19 patients, compliance officers should take care to avoid interference with the facilities’ provision of ongoing medical services.</w:t>
      </w:r>
    </w:p>
    <w:p w:rsidR="0052727D" w:rsidRPr="00325E3C" w:rsidP="0052727D" w14:paraId="4BCF1BBA" w14:textId="77777777">
      <w:pPr>
        <w:pStyle w:val="SubHeader"/>
      </w:pPr>
      <w:r w:rsidRPr="00325E3C">
        <w:t>Private Interviews</w:t>
      </w:r>
    </w:p>
    <w:p w:rsidR="0052727D" w:rsidP="0052727D" w14:paraId="636795AB" w14:textId="6BC5167F">
      <w:pPr>
        <w:pStyle w:val="BodyText"/>
      </w:pPr>
      <w:r>
        <w:t xml:space="preserve">As appropriate to </w:t>
      </w:r>
      <w:r w:rsidR="008057D8">
        <w:t>an</w:t>
      </w:r>
      <w:r>
        <w:t xml:space="preserve"> inspection, compliance officers may conduct private interviews with affected employees in uncontaminated areas. </w:t>
      </w:r>
      <w:r w:rsidR="0093305D">
        <w:t>However, interviews will not take place in a room or area where a high-hazard procedure</w:t>
      </w:r>
      <w:r w:rsidR="008057D8">
        <w:t>,</w:t>
      </w:r>
      <w:r w:rsidR="0093305D">
        <w:t xml:space="preserve"> such as bronchoscopy or sputum induction, is being or recently has been conducted. </w:t>
      </w:r>
      <w:r>
        <w:t xml:space="preserve">To the extent possible, compliance officers will practice social distancing during employee interviews. </w:t>
      </w:r>
      <w:r w:rsidR="008057D8">
        <w:t>Also</w:t>
      </w:r>
      <w:r w:rsidR="007624A0">
        <w:t>,</w:t>
      </w:r>
      <w:r w:rsidR="008057D8">
        <w:t xml:space="preserve"> w</w:t>
      </w:r>
      <w:r>
        <w:t xml:space="preserve">hen possible, officers may choose to conduct these interviews over the phone. </w:t>
      </w:r>
    </w:p>
    <w:p w:rsidR="008A7E71" w:rsidP="004967FA" w14:paraId="17E5BEEE" w14:textId="77777777">
      <w:pPr>
        <w:pStyle w:val="BodyText"/>
      </w:pPr>
    </w:p>
    <w:p w:rsidR="00D8467E" w:rsidP="004967FA" w14:paraId="63DA62F6" w14:textId="77777777">
      <w:pPr>
        <w:pStyle w:val="BodyText"/>
      </w:pPr>
    </w:p>
    <w:p w:rsidR="00C84C66" w:rsidRPr="004967FA" w:rsidP="004967FA" w14:paraId="4C13618A" w14:textId="77777777">
      <w:pPr>
        <w:pStyle w:val="BodyText"/>
      </w:pPr>
    </w:p>
    <w:sectPr w:rsidSect="00C84C66">
      <w:headerReference w:type="default" r:id="rId8"/>
      <w:footerReference w:type="default" r:id="rId9"/>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2390EC05" w14:textId="77777777">
    <w:pPr>
      <w:pStyle w:val="Footer"/>
    </w:pPr>
    <w:r>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4126230" cy="0"/>
                      </a:xfrm>
                      <a:prstGeom prst="line">
                        <a:avLst/>
                      </a:prstGeom>
                      <a:ln w="44450">
                        <a:solidFill>
                          <a:srgbClr val="39945E">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39945e"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5081088"/>
      <w:docPartObj>
        <w:docPartGallery w:val="Page Numbers (Bottom of Page)"/>
        <w:docPartUnique/>
      </w:docPartObj>
    </w:sdtPr>
    <w:sdtEndPr>
      <w:rPr>
        <w:noProof/>
      </w:rPr>
    </w:sdtEndPr>
    <w:sdtContent>
      <w:p w:rsidR="00E35483" w14:paraId="1C1A34DD" w14:textId="77777777">
        <w:pPr>
          <w:pStyle w:val="Footer"/>
          <w:jc w:val="right"/>
        </w:pPr>
        <w:r>
          <w:rPr>
            <w:noProof/>
          </w:rPr>
          <mc:AlternateContent>
            <mc:Choice Requires="wps">
              <w:drawing>
                <wp:anchor distT="0" distB="0" distL="114300" distR="114300" simplePos="0" relativeHeight="251661312" behindDoc="0" locked="0" layoutInCell="1" allowOverlap="1">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0527" cy="556260"/>
                          </a:xfrm>
                          <a:prstGeom prst="rect">
                            <a:avLst/>
                          </a:prstGeom>
                          <a:noFill/>
                          <a:ln w="6350">
                            <a:noFill/>
                          </a:ln>
                          <a:effectLst/>
                        </wps:spPr>
                        <wps:txbx>
                          <w:txbxContent>
                            <w:p w:rsidR="00267C01" w:rsidRPr="00817EEE" w:rsidP="00267C01"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325E3C">
                                <w:t>2020</w:t>
                              </w:r>
                              <w:r>
                                <w:t xml:space="preserve"> </w:t>
                              </w:r>
                              <w:r w:rsidRPr="00817EEE">
                                <w:t>Zywave, Inc.</w:t>
                              </w:r>
                              <w:r>
                                <w:t xml:space="preserve"> </w:t>
                              </w:r>
                              <w:r w:rsidRPr="00817EEE">
                                <w:t>All rights reserved.</w:t>
                              </w:r>
                            </w:p>
                            <w:p w:rsidR="00267C01" w:rsidRPr="00947E11" w:rsidP="00267C01" w14:textId="77777777">
                              <w:pPr>
                                <w:pStyle w:val="Disclaimer"/>
                                <w:rPr>
                                  <w:szCs w:val="16"/>
                                </w:rPr>
                              </w:pPr>
                            </w:p>
                            <w:p w:rsidR="00267C01" w:rsidRPr="00947E11" w:rsidP="00267C01" w14:textId="77777777">
                              <w:pPr>
                                <w:pStyle w:val="Disclaimer"/>
                                <w:rPr>
                                  <w:szCs w:val="16"/>
                                </w:rPr>
                              </w:pPr>
                            </w:p>
                            <w:p w:rsidR="00267C01" w:rsidRPr="00947E11" w:rsidP="00267C01" w14:textId="77777777">
                              <w:pPr>
                                <w:pStyle w:val="Disclaimer"/>
                                <w:rPr>
                                  <w:szCs w:val="16"/>
                                </w:rPr>
                              </w:pPr>
                            </w:p>
                            <w:p w:rsidR="00E6115F" w:rsidRPr="00947E11" w:rsidP="008F7B15" w14:textId="77777777">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267C01" w:rsidRPr="00817EEE" w:rsidP="00267C01" w14:paraId="0BB0F7B2"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325E3C">
                          <w:t>2020</w:t>
                        </w:r>
                        <w:r>
                          <w:t xml:space="preserve"> </w:t>
                        </w:r>
                        <w:r w:rsidRPr="00817EEE">
                          <w:t>Zywave, Inc.</w:t>
                        </w:r>
                        <w:r>
                          <w:t xml:space="preserve"> </w:t>
                        </w:r>
                        <w:r w:rsidRPr="00817EEE">
                          <w:t>All rights reserved.</w:t>
                        </w:r>
                      </w:p>
                      <w:p w:rsidR="00267C01" w:rsidRPr="00947E11" w:rsidP="00267C01" w14:paraId="1F1B263B" w14:textId="77777777">
                        <w:pPr>
                          <w:pStyle w:val="Disclaimer"/>
                          <w:rPr>
                            <w:szCs w:val="16"/>
                          </w:rPr>
                        </w:pPr>
                      </w:p>
                      <w:p w:rsidR="00267C01" w:rsidRPr="00947E11" w:rsidP="00267C01" w14:paraId="6F96729B" w14:textId="77777777">
                        <w:pPr>
                          <w:pStyle w:val="Disclaimer"/>
                          <w:rPr>
                            <w:szCs w:val="16"/>
                          </w:rPr>
                        </w:pPr>
                      </w:p>
                      <w:p w:rsidR="00267C01" w:rsidRPr="00947E11" w:rsidP="00267C01" w14:paraId="79B7A7F4" w14:textId="77777777">
                        <w:pPr>
                          <w:pStyle w:val="Disclaimer"/>
                          <w:rPr>
                            <w:szCs w:val="16"/>
                          </w:rPr>
                        </w:pPr>
                      </w:p>
                      <w:p w:rsidR="00E6115F" w:rsidRPr="00947E11" w:rsidP="008F7B15" w14:paraId="15B34164"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7620</wp:posOffset>
                  </wp:positionH>
                  <wp:positionV relativeFrom="bottomMargin">
                    <wp:posOffset>7620</wp:posOffset>
                  </wp:positionV>
                  <wp:extent cx="6848475" cy="8890"/>
                  <wp:effectExtent l="19050" t="19050" r="9525" b="29210"/>
                  <wp:wrapNone/>
                  <wp:docPr id="32811290"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rgbClr val="39945E">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39945e"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E6115F" w14:paraId="346AB3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14C87AB1"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60970" cy="1004226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0970"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14:paraId="6FFD804A" w14:textId="77777777">
    <w:pPr>
      <w:pStyle w:val="Header"/>
    </w:pPr>
    <w:r>
      <w:rPr>
        <w:noProof/>
      </w:rPr>
      <w:drawing>
        <wp:anchor distT="0" distB="0" distL="114300" distR="114300" simplePos="0" relativeHeight="251660288" behindDoc="1" locked="0" layoutInCell="1" allowOverlap="1">
          <wp:simplePos x="0" y="0"/>
          <wp:positionH relativeFrom="page">
            <wp:posOffset>10833</wp:posOffset>
          </wp:positionH>
          <wp:positionV relativeFrom="paragraph">
            <wp:posOffset>-448056</wp:posOffset>
          </wp:positionV>
          <wp:extent cx="7755309"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56473"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55309" cy="1636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D4184"/>
    <w:multiLevelType w:val="hybridMultilevel"/>
    <w:tmpl w:val="6CE61B02"/>
    <w:lvl w:ilvl="0">
      <w:start w:val="1"/>
      <w:numFmt w:val="bullet"/>
      <w:pStyle w:val="BulletListText"/>
      <w:lvlText w:val=""/>
      <w:lvlJc w:val="left"/>
      <w:pPr>
        <w:ind w:left="720" w:hanging="360"/>
      </w:pPr>
      <w:rPr>
        <w:rFonts w:ascii="Symbol" w:hAnsi="Symbol" w:hint="default"/>
        <w:color w:val="39945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EB1D96"/>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C6953BA"/>
    <w:multiLevelType w:val="hybridMultilevel"/>
    <w:tmpl w:val="787A7C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872B1"/>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1E95063"/>
    <w:multiLevelType w:val="hybridMultilevel"/>
    <w:tmpl w:val="0CE2A7C2"/>
    <w:lvl w:ilvl="0">
      <w:start w:val="1"/>
      <w:numFmt w:val="bullet"/>
      <w:pStyle w:val="BulletLis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52176E"/>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15AF19AE"/>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1A270686"/>
    <w:multiLevelType w:val="hybridMultilevel"/>
    <w:tmpl w:val="409AC006"/>
    <w:lvl w:ilvl="0">
      <w:start w:val="1"/>
      <w:numFmt w:val="bullet"/>
      <w:pStyle w:val="Checkbox"/>
      <w:lvlText w:val=""/>
      <w:lvlJc w:val="left"/>
      <w:pPr>
        <w:ind w:left="1170" w:hanging="360"/>
      </w:pPr>
      <w:rPr>
        <w:rFonts w:ascii="Wingdings" w:hAnsi="Wingdings" w:hint="default"/>
        <w:color w:val="5083C9"/>
        <w:sz w:val="28"/>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8">
    <w:nsid w:val="1AA327BD"/>
    <w:multiLevelType w:val="multilevel"/>
    <w:tmpl w:val="5E0EC23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0AC515F"/>
    <w:multiLevelType w:val="hybridMultilevel"/>
    <w:tmpl w:val="7B30760A"/>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665FCB"/>
    <w:multiLevelType w:val="hybridMultilevel"/>
    <w:tmpl w:val="8ACC4C4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C331B3"/>
    <w:multiLevelType w:val="hybridMultilevel"/>
    <w:tmpl w:val="ABDA5E0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BD41DC0"/>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706E0AA3"/>
    <w:multiLevelType w:val="hybridMultilevel"/>
    <w:tmpl w:val="839A40D6"/>
    <w:lvl w:ilvl="0">
      <w:start w:val="1"/>
      <w:numFmt w:val="bullet"/>
      <w:lvlText w:val=""/>
      <w:lvlJc w:val="left"/>
      <w:pPr>
        <w:ind w:left="720" w:hanging="360"/>
      </w:pPr>
      <w:rPr>
        <w:rFonts w:ascii="Symbol" w:hAnsi="Symbol" w:hint="default"/>
        <w:color w:val="5083C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48530C"/>
    <w:multiLevelType w:val="multilevel"/>
    <w:tmpl w:val="B13CDD5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4"/>
  </w:num>
  <w:num w:numId="2">
    <w:abstractNumId w:val="11"/>
  </w:num>
  <w:num w:numId="3">
    <w:abstractNumId w:val="7"/>
  </w:num>
  <w:num w:numId="4">
    <w:abstractNumId w:val="12"/>
  </w:num>
  <w:num w:numId="5">
    <w:abstractNumId w:val="17"/>
  </w:num>
  <w:num w:numId="6">
    <w:abstractNumId w:val="8"/>
  </w:num>
  <w:num w:numId="7">
    <w:abstractNumId w:val="15"/>
  </w:num>
  <w:num w:numId="8">
    <w:abstractNumId w:val="10"/>
  </w:num>
  <w:num w:numId="9">
    <w:abstractNumId w:val="1"/>
  </w:num>
  <w:num w:numId="10">
    <w:abstractNumId w:val="3"/>
  </w:num>
  <w:num w:numId="11">
    <w:abstractNumId w:val="16"/>
  </w:num>
  <w:num w:numId="12">
    <w:abstractNumId w:val="6"/>
  </w:num>
  <w:num w:numId="13">
    <w:abstractNumId w:val="5"/>
  </w:num>
  <w:num w:numId="14">
    <w:abstractNumId w:val="18"/>
  </w:num>
  <w:num w:numId="15">
    <w:abstractNumId w:val="0"/>
  </w:num>
  <w:num w:numId="16">
    <w:abstractNumId w:val="9"/>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49"/>
    <w:rsid w:val="00022BAB"/>
    <w:rsid w:val="0003332B"/>
    <w:rsid w:val="00036B13"/>
    <w:rsid w:val="00037A6B"/>
    <w:rsid w:val="00043895"/>
    <w:rsid w:val="00060CCE"/>
    <w:rsid w:val="00090E64"/>
    <w:rsid w:val="000F2585"/>
    <w:rsid w:val="000F35C0"/>
    <w:rsid w:val="00110963"/>
    <w:rsid w:val="0012162D"/>
    <w:rsid w:val="001251F8"/>
    <w:rsid w:val="00127CA1"/>
    <w:rsid w:val="001303AF"/>
    <w:rsid w:val="00144E64"/>
    <w:rsid w:val="00150559"/>
    <w:rsid w:val="0016089F"/>
    <w:rsid w:val="00171781"/>
    <w:rsid w:val="001725D9"/>
    <w:rsid w:val="0019007E"/>
    <w:rsid w:val="001B1A7E"/>
    <w:rsid w:val="001B200A"/>
    <w:rsid w:val="0024208C"/>
    <w:rsid w:val="0026000D"/>
    <w:rsid w:val="00267C01"/>
    <w:rsid w:val="00282C22"/>
    <w:rsid w:val="002C002A"/>
    <w:rsid w:val="002C76C0"/>
    <w:rsid w:val="002F02F6"/>
    <w:rsid w:val="002F0A3E"/>
    <w:rsid w:val="00306553"/>
    <w:rsid w:val="00325E3C"/>
    <w:rsid w:val="003267EB"/>
    <w:rsid w:val="00345D35"/>
    <w:rsid w:val="0035530B"/>
    <w:rsid w:val="00374293"/>
    <w:rsid w:val="0037553A"/>
    <w:rsid w:val="00395EF3"/>
    <w:rsid w:val="003A6B72"/>
    <w:rsid w:val="003C10A8"/>
    <w:rsid w:val="00422541"/>
    <w:rsid w:val="00441851"/>
    <w:rsid w:val="00446018"/>
    <w:rsid w:val="00467D27"/>
    <w:rsid w:val="00485C3A"/>
    <w:rsid w:val="0049654B"/>
    <w:rsid w:val="004967FA"/>
    <w:rsid w:val="004A6937"/>
    <w:rsid w:val="004B125C"/>
    <w:rsid w:val="004C6B5B"/>
    <w:rsid w:val="005019F9"/>
    <w:rsid w:val="0052727D"/>
    <w:rsid w:val="00534014"/>
    <w:rsid w:val="00574C31"/>
    <w:rsid w:val="00584B55"/>
    <w:rsid w:val="00585290"/>
    <w:rsid w:val="005A1F47"/>
    <w:rsid w:val="005C4CC7"/>
    <w:rsid w:val="005D05D9"/>
    <w:rsid w:val="005E5147"/>
    <w:rsid w:val="005F4596"/>
    <w:rsid w:val="00617267"/>
    <w:rsid w:val="00630024"/>
    <w:rsid w:val="006A407C"/>
    <w:rsid w:val="006A63B4"/>
    <w:rsid w:val="006C6717"/>
    <w:rsid w:val="00707343"/>
    <w:rsid w:val="007318F0"/>
    <w:rsid w:val="00732BAF"/>
    <w:rsid w:val="007359E8"/>
    <w:rsid w:val="007624A0"/>
    <w:rsid w:val="00765B53"/>
    <w:rsid w:val="00785481"/>
    <w:rsid w:val="00791090"/>
    <w:rsid w:val="007B5200"/>
    <w:rsid w:val="007D1039"/>
    <w:rsid w:val="007D306E"/>
    <w:rsid w:val="007D5EFD"/>
    <w:rsid w:val="007F7D78"/>
    <w:rsid w:val="00802FF0"/>
    <w:rsid w:val="008057D8"/>
    <w:rsid w:val="00817EEE"/>
    <w:rsid w:val="00826394"/>
    <w:rsid w:val="00844896"/>
    <w:rsid w:val="008718F5"/>
    <w:rsid w:val="008763E8"/>
    <w:rsid w:val="00890A07"/>
    <w:rsid w:val="00892115"/>
    <w:rsid w:val="008A7E71"/>
    <w:rsid w:val="008B3699"/>
    <w:rsid w:val="008F7B15"/>
    <w:rsid w:val="00926535"/>
    <w:rsid w:val="0093305D"/>
    <w:rsid w:val="00943082"/>
    <w:rsid w:val="00946818"/>
    <w:rsid w:val="00947E11"/>
    <w:rsid w:val="00962E99"/>
    <w:rsid w:val="0098636D"/>
    <w:rsid w:val="00993033"/>
    <w:rsid w:val="00994E35"/>
    <w:rsid w:val="009B04C4"/>
    <w:rsid w:val="009D4BB6"/>
    <w:rsid w:val="009E4DC9"/>
    <w:rsid w:val="009F3CA3"/>
    <w:rsid w:val="00A337BD"/>
    <w:rsid w:val="00A357CD"/>
    <w:rsid w:val="00A42C82"/>
    <w:rsid w:val="00A47C53"/>
    <w:rsid w:val="00A8186B"/>
    <w:rsid w:val="00A83C9F"/>
    <w:rsid w:val="00A9581B"/>
    <w:rsid w:val="00AC219B"/>
    <w:rsid w:val="00AC551B"/>
    <w:rsid w:val="00AD0649"/>
    <w:rsid w:val="00B15441"/>
    <w:rsid w:val="00B24749"/>
    <w:rsid w:val="00B37400"/>
    <w:rsid w:val="00B51EA7"/>
    <w:rsid w:val="00B93371"/>
    <w:rsid w:val="00BA161B"/>
    <w:rsid w:val="00BC26A4"/>
    <w:rsid w:val="00BC79DD"/>
    <w:rsid w:val="00BD76ED"/>
    <w:rsid w:val="00C11358"/>
    <w:rsid w:val="00C61CDB"/>
    <w:rsid w:val="00C62220"/>
    <w:rsid w:val="00C84C66"/>
    <w:rsid w:val="00C87B81"/>
    <w:rsid w:val="00CB1ADE"/>
    <w:rsid w:val="00CB781D"/>
    <w:rsid w:val="00CF5E21"/>
    <w:rsid w:val="00D046CF"/>
    <w:rsid w:val="00D37117"/>
    <w:rsid w:val="00D379D5"/>
    <w:rsid w:val="00D5456E"/>
    <w:rsid w:val="00D576A6"/>
    <w:rsid w:val="00D610E6"/>
    <w:rsid w:val="00D62BEA"/>
    <w:rsid w:val="00D7321D"/>
    <w:rsid w:val="00D76FCB"/>
    <w:rsid w:val="00D8467E"/>
    <w:rsid w:val="00D93ACB"/>
    <w:rsid w:val="00DB1F96"/>
    <w:rsid w:val="00DB7131"/>
    <w:rsid w:val="00DC3880"/>
    <w:rsid w:val="00DE5BB1"/>
    <w:rsid w:val="00DE620E"/>
    <w:rsid w:val="00E16E6C"/>
    <w:rsid w:val="00E2753B"/>
    <w:rsid w:val="00E34846"/>
    <w:rsid w:val="00E35483"/>
    <w:rsid w:val="00E375D9"/>
    <w:rsid w:val="00E40237"/>
    <w:rsid w:val="00E52110"/>
    <w:rsid w:val="00E6115F"/>
    <w:rsid w:val="00EA13FD"/>
    <w:rsid w:val="00EA2BB6"/>
    <w:rsid w:val="00EA3160"/>
    <w:rsid w:val="00EC2053"/>
    <w:rsid w:val="00EC4F13"/>
    <w:rsid w:val="00EF7BE8"/>
    <w:rsid w:val="00F54A11"/>
    <w:rsid w:val="00F62890"/>
    <w:rsid w:val="00FB4BB3"/>
    <w:rsid w:val="00FE29B4"/>
    <w:rsid w:val="00FF2183"/>
    <w:rsid w:val="00FF3F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4A43FDBC-BF00-43A5-889F-FC2E444E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D93ACB"/>
    <w:pPr>
      <w:spacing w:after="120" w:line="228" w:lineRule="auto"/>
    </w:pPr>
    <w:rPr>
      <w:b/>
      <w:color w:val="39945E"/>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D93ACB"/>
    <w:rPr>
      <w:b/>
      <w:color w:val="39945E"/>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93305D"/>
    <w:pPr>
      <w:numPr>
        <w:numId w:val="3"/>
      </w:numPr>
      <w:tabs>
        <w:tab w:val="left" w:pos="540"/>
      </w:tabs>
      <w:spacing w:after="160"/>
      <w:ind w:left="806" w:hanging="446"/>
      <w:contextualSpacing/>
      <w:jc w:val="left"/>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6A63B4"/>
    <w:pPr>
      <w:numPr>
        <w:numId w:val="4"/>
      </w:numPr>
      <w:ind w:left="806" w:hanging="446"/>
    </w:pPr>
  </w:style>
  <w:style w:type="character" w:customStyle="1" w:styleId="CheckboxChar">
    <w:name w:val="Checkbox Char"/>
    <w:basedOn w:val="BulletListChar"/>
    <w:link w:val="Checkbox"/>
    <w:rsid w:val="0093305D"/>
    <w:rPr>
      <w:rFonts w:ascii="Calibri" w:eastAsia="Times New Roman" w:hAnsi="Calibri" w:cs="Arial"/>
      <w:color w:val="595959"/>
      <w:szCs w:val="20"/>
    </w:rPr>
  </w:style>
  <w:style w:type="paragraph" w:customStyle="1" w:styleId="CallOutBox">
    <w:name w:val="Call Out Box"/>
    <w:basedOn w:val="Footer"/>
    <w:link w:val="CallOutBoxChar"/>
    <w:qFormat/>
    <w:rsid w:val="001251F8"/>
    <w:pPr>
      <w:jc w:val="center"/>
    </w:pPr>
    <w:rPr>
      <w:b/>
      <w:i/>
      <w:color w:val="39945E"/>
      <w:sz w:val="36"/>
      <w:szCs w:val="36"/>
    </w:rPr>
  </w:style>
  <w:style w:type="character" w:customStyle="1" w:styleId="XboxChar">
    <w:name w:val="Xbox Char"/>
    <w:basedOn w:val="CheckboxChar"/>
    <w:link w:val="Xbox"/>
    <w:rsid w:val="006A63B4"/>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1251F8"/>
    <w:rPr>
      <w:b/>
      <w:i/>
      <w:color w:val="39945E"/>
      <w:sz w:val="36"/>
      <w:szCs w:val="36"/>
    </w:rPr>
  </w:style>
  <w:style w:type="paragraph" w:customStyle="1" w:styleId="TableHeader">
    <w:name w:val="Table Header"/>
    <w:basedOn w:val="BodyText"/>
    <w:link w:val="TableHeaderChar"/>
    <w:qFormat/>
    <w:rsid w:val="00036B13"/>
    <w:pPr>
      <w:spacing w:before="60" w:after="60" w:line="240" w:lineRule="auto"/>
      <w:jc w:val="center"/>
    </w:pPr>
    <w:rPr>
      <w:b/>
      <w:color w:val="FFFFFF" w:themeColor="background1"/>
      <w:sz w:val="24"/>
      <w:szCs w:val="26"/>
    </w:rPr>
  </w:style>
  <w:style w:type="character" w:customStyle="1" w:styleId="TableHeaderChar">
    <w:name w:val="Table Header Char"/>
    <w:basedOn w:val="BodyTextChar"/>
    <w:link w:val="TableHeader"/>
    <w:rsid w:val="00036B13"/>
    <w:rPr>
      <w:rFonts w:ascii="Calibri" w:eastAsia="Times New Roman" w:hAnsi="Calibri" w:cs="Arial"/>
      <w:b/>
      <w:color w:val="FFFFFF" w:themeColor="background1"/>
      <w:sz w:val="24"/>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036B13"/>
    <w:pPr>
      <w:numPr>
        <w:numId w:val="15"/>
      </w:numPr>
      <w:spacing w:line="240" w:lineRule="auto"/>
      <w:ind w:right="274"/>
      <w:contextualSpacing/>
    </w:pPr>
  </w:style>
  <w:style w:type="character" w:customStyle="1" w:styleId="BulletListTextChar">
    <w:name w:val="Bullet List Text Char"/>
    <w:basedOn w:val="BodyTextChar"/>
    <w:link w:val="BulletListText"/>
    <w:rsid w:val="00036B13"/>
    <w:rPr>
      <w:rFonts w:ascii="Calibri" w:eastAsia="Times New Roman" w:hAnsi="Calibri" w:cs="Arial"/>
      <w:color w:val="595959"/>
      <w:szCs w:val="20"/>
    </w:rPr>
  </w:style>
  <w:style w:type="paragraph" w:customStyle="1" w:styleId="TableText">
    <w:name w:val="Table Text"/>
    <w:basedOn w:val="BodyText"/>
    <w:link w:val="TableTextChar"/>
    <w:qFormat/>
    <w:rsid w:val="00325E3C"/>
    <w:pPr>
      <w:spacing w:before="60" w:after="60"/>
      <w:jc w:val="left"/>
    </w:pPr>
  </w:style>
  <w:style w:type="paragraph" w:customStyle="1" w:styleId="TableBullet">
    <w:name w:val="Table Bullet"/>
    <w:basedOn w:val="BodyText"/>
    <w:link w:val="TableBulletChar"/>
    <w:qFormat/>
    <w:rsid w:val="00325E3C"/>
    <w:pPr>
      <w:numPr>
        <w:numId w:val="16"/>
      </w:numPr>
      <w:spacing w:before="60" w:after="60" w:line="240" w:lineRule="auto"/>
      <w:ind w:left="245" w:hanging="245"/>
      <w:contextualSpacing/>
      <w:jc w:val="left"/>
    </w:pPr>
  </w:style>
  <w:style w:type="character" w:customStyle="1" w:styleId="TableTextChar">
    <w:name w:val="Table Text Char"/>
    <w:basedOn w:val="BodyTextChar"/>
    <w:link w:val="TableText"/>
    <w:rsid w:val="00325E3C"/>
    <w:rPr>
      <w:rFonts w:ascii="Calibri" w:eastAsia="Times New Roman" w:hAnsi="Calibri" w:cs="Arial"/>
      <w:color w:val="595959"/>
      <w:szCs w:val="20"/>
    </w:rPr>
  </w:style>
  <w:style w:type="character" w:customStyle="1" w:styleId="TableBulletChar">
    <w:name w:val="Table Bullet Char"/>
    <w:basedOn w:val="BodyTextChar"/>
    <w:link w:val="TableBullet"/>
    <w:rsid w:val="00325E3C"/>
    <w:rPr>
      <w:rFonts w:ascii="Calibri" w:eastAsia="Times New Roman" w:hAnsi="Calibri" w:cs="Arial"/>
      <w:color w:val="595959"/>
      <w:szCs w:val="20"/>
    </w:rPr>
  </w:style>
  <w:style w:type="character" w:styleId="Hyperlink">
    <w:name w:val="Hyperlink"/>
    <w:basedOn w:val="DefaultParagraphFont"/>
    <w:uiPriority w:val="99"/>
    <w:unhideWhenUsed/>
    <w:rsid w:val="00B24749"/>
    <w:rPr>
      <w:color w:val="0563C1" w:themeColor="hyperlink"/>
      <w:u w:val="single"/>
    </w:rPr>
  </w:style>
  <w:style w:type="character" w:customStyle="1" w:styleId="UnresolvedMention">
    <w:name w:val="Unresolved Mention"/>
    <w:basedOn w:val="DefaultParagraphFont"/>
    <w:uiPriority w:val="99"/>
    <w:semiHidden/>
    <w:unhideWhenUsed/>
    <w:rsid w:val="00B24749"/>
    <w:rPr>
      <w:color w:val="605E5C"/>
      <w:shd w:val="clear" w:color="auto" w:fill="E1DFDD"/>
    </w:rPr>
  </w:style>
  <w:style w:type="paragraph" w:customStyle="1" w:styleId="Section">
    <w:name w:val="_Section"/>
    <w:basedOn w:val="MainTitle"/>
    <w:link w:val="SectionChar"/>
    <w:qFormat/>
    <w:rsid w:val="005C4CC7"/>
    <w:rPr>
      <w:sz w:val="36"/>
    </w:rPr>
  </w:style>
  <w:style w:type="paragraph" w:styleId="ListParagraph">
    <w:name w:val="List Paragraph"/>
    <w:basedOn w:val="Normal"/>
    <w:uiPriority w:val="34"/>
    <w:qFormat/>
    <w:rsid w:val="00325E3C"/>
    <w:pPr>
      <w:ind w:left="720"/>
      <w:contextualSpacing/>
    </w:pPr>
  </w:style>
  <w:style w:type="character" w:customStyle="1" w:styleId="SectionChar">
    <w:name w:val="_Section Char"/>
    <w:basedOn w:val="MainTitleChar"/>
    <w:link w:val="Section"/>
    <w:rsid w:val="005C4CC7"/>
    <w:rPr>
      <w:b/>
      <w:color w:val="39945E"/>
      <w:sz w:val="36"/>
      <w:szCs w:val="48"/>
    </w:rPr>
  </w:style>
  <w:style w:type="character" w:styleId="CommentReference">
    <w:name w:val="annotation reference"/>
    <w:basedOn w:val="DefaultParagraphFont"/>
    <w:uiPriority w:val="99"/>
    <w:semiHidden/>
    <w:unhideWhenUsed/>
    <w:rsid w:val="00F62890"/>
    <w:rPr>
      <w:sz w:val="16"/>
      <w:szCs w:val="16"/>
    </w:rPr>
  </w:style>
  <w:style w:type="paragraph" w:styleId="CommentText">
    <w:name w:val="annotation text"/>
    <w:basedOn w:val="Normal"/>
    <w:link w:val="CommentTextChar"/>
    <w:uiPriority w:val="99"/>
    <w:semiHidden/>
    <w:unhideWhenUsed/>
    <w:rsid w:val="00F62890"/>
    <w:pPr>
      <w:spacing w:line="240" w:lineRule="auto"/>
    </w:pPr>
    <w:rPr>
      <w:sz w:val="20"/>
      <w:szCs w:val="20"/>
    </w:rPr>
  </w:style>
  <w:style w:type="character" w:customStyle="1" w:styleId="CommentTextChar">
    <w:name w:val="Comment Text Char"/>
    <w:basedOn w:val="DefaultParagraphFont"/>
    <w:link w:val="CommentText"/>
    <w:uiPriority w:val="99"/>
    <w:semiHidden/>
    <w:rsid w:val="00F62890"/>
    <w:rPr>
      <w:sz w:val="20"/>
      <w:szCs w:val="20"/>
    </w:rPr>
  </w:style>
  <w:style w:type="paragraph" w:styleId="CommentSubject">
    <w:name w:val="annotation subject"/>
    <w:basedOn w:val="CommentText"/>
    <w:next w:val="CommentText"/>
    <w:link w:val="CommentSubjectChar"/>
    <w:uiPriority w:val="99"/>
    <w:semiHidden/>
    <w:unhideWhenUsed/>
    <w:rsid w:val="00F62890"/>
    <w:rPr>
      <w:b/>
      <w:bCs/>
    </w:rPr>
  </w:style>
  <w:style w:type="character" w:customStyle="1" w:styleId="CommentSubjectChar">
    <w:name w:val="Comment Subject Char"/>
    <w:basedOn w:val="CommentTextChar"/>
    <w:link w:val="CommentSubject"/>
    <w:uiPriority w:val="99"/>
    <w:semiHidden/>
    <w:rsid w:val="00F62890"/>
    <w:rPr>
      <w:b/>
      <w:bCs/>
      <w:sz w:val="20"/>
      <w:szCs w:val="20"/>
    </w:rPr>
  </w:style>
  <w:style w:type="paragraph" w:styleId="BalloonText">
    <w:name w:val="Balloon Text"/>
    <w:basedOn w:val="Normal"/>
    <w:link w:val="BalloonTextChar"/>
    <w:uiPriority w:val="99"/>
    <w:semiHidden/>
    <w:unhideWhenUsed/>
    <w:rsid w:val="00F6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90"/>
    <w:rPr>
      <w:rFonts w:ascii="Segoe UI" w:hAnsi="Segoe UI" w:cs="Segoe UI"/>
      <w:sz w:val="18"/>
      <w:szCs w:val="18"/>
    </w:rPr>
  </w:style>
  <w:style w:type="character" w:styleId="FollowedHyperlink">
    <w:name w:val="FollowedHyperlink"/>
    <w:basedOn w:val="DefaultParagraphFont"/>
    <w:uiPriority w:val="99"/>
    <w:semiHidden/>
    <w:unhideWhenUsed/>
    <w:rsid w:val="00C61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PC_Compliance%20Bulleti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PC_Compliance Bulletin</Template>
  <TotalTime>4</TotalTime>
  <Pages>5</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 Juan</dc:creator>
  <cp:lastModifiedBy>Amado, Juan</cp:lastModifiedBy>
  <cp:revision>3</cp:revision>
  <dcterms:created xsi:type="dcterms:W3CDTF">2020-04-17T20:32:00Z</dcterms:created>
  <dcterms:modified xsi:type="dcterms:W3CDTF">2020-04-17T20:35:00Z</dcterms:modified>
</cp:coreProperties>
</file>