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CCB91" w14:textId="0D0777CE" w:rsidR="00777DD9" w:rsidRDefault="00992EAE" w:rsidP="007201D3">
      <w:pPr>
        <w:pStyle w:val="BodyText"/>
        <w:sectPr w:rsidR="00777DD9" w:rsidSect="009C43ED">
          <w:headerReference w:type="default" r:id="rId8"/>
          <w:footerReference w:type="default" r:id="rId9"/>
          <w:pgSz w:w="12240" w:h="15840"/>
          <w:pgMar w:top="4410" w:right="720" w:bottom="1800" w:left="720" w:header="720" w:footer="720" w:gutter="0"/>
          <w:cols w:space="720"/>
          <w:docGrid w:linePitch="360"/>
        </w:sectPr>
      </w:pPr>
      <w:r>
        <w:rPr>
          <w:noProof/>
        </w:rPr>
        <w:drawing>
          <wp:anchor distT="0" distB="0" distL="114300" distR="114300" simplePos="0" relativeHeight="251658240" behindDoc="0" locked="1" layoutInCell="1" allowOverlap="1" wp14:anchorId="214ED1BC" wp14:editId="76F76C6D">
            <wp:simplePos x="0" y="0"/>
            <wp:positionH relativeFrom="margin">
              <wp:posOffset>4889500</wp:posOffset>
            </wp:positionH>
            <wp:positionV relativeFrom="margin">
              <wp:posOffset>5715000</wp:posOffset>
            </wp:positionV>
            <wp:extent cx="1645920" cy="1120140"/>
            <wp:effectExtent l="0" t="0" r="0" b="0"/>
            <wp:wrapNone/>
            <wp:docPr id="7" name="Picture 6" descr="Brok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roker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5920" cy="112014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310F8C60" wp14:editId="60BF1B93">
                <wp:simplePos x="0" y="0"/>
                <wp:positionH relativeFrom="column">
                  <wp:posOffset>-74930</wp:posOffset>
                </wp:positionH>
                <wp:positionV relativeFrom="paragraph">
                  <wp:posOffset>-20320</wp:posOffset>
                </wp:positionV>
                <wp:extent cx="4480560" cy="504190"/>
                <wp:effectExtent l="1270" t="0" r="4445" b="190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0560"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6D419AF" w14:textId="77777777" w:rsidR="009C43ED" w:rsidRPr="00E00FF6" w:rsidRDefault="00992EAE" w:rsidP="00E00FF6">
                            <w:pPr>
                              <w:pStyle w:val="MergeField"/>
                              <w:rPr>
                                <w:rStyle w:val="Strong"/>
                                <w:color w:val="4884A2"/>
                              </w:rPr>
                            </w:pPr>
                            <w:r w:rsidRPr="00E00FF6">
                              <w:rPr>
                                <w:rStyle w:val="Strong"/>
                                <w:color w:val="4884A2"/>
                              </w:rPr>
                              <w:t>Provided by Horst Insurance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page">
                  <wp14:pctHeight>0</wp14:pctHeight>
                </wp14:sizeRelV>
              </wp:anchor>
            </w:drawing>
          </mc:Choice>
          <mc:Fallback>
            <w:pict>
              <v:shapetype w14:anchorId="310F8C60" id="_x0000_t202" coordsize="21600,21600" o:spt="202" path="m,l,21600r21600,l21600,xe">
                <v:stroke joinstyle="miter"/>
                <v:path gradientshapeok="t" o:connecttype="rect"/>
              </v:shapetype>
              <v:shape id="Text Box 1" o:spid="_x0000_s1026" type="#_x0000_t202" style="position:absolute;left:0;text-align:left;margin-left:-5.9pt;margin-top:-1.6pt;width:352.8pt;height:3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" filled="f" stroked="f" strokeweight=".5pt">
                <v:textbox style="mso-fit-shape-to-text:t">
                  <w:txbxContent>
                    <w:p w14:paraId="36D419AF" w14:textId="77777777" w:rsidR="009C43ED" w:rsidRPr="00E00FF6" w:rsidRDefault="00992EAE" w:rsidP="00E00FF6">
                      <w:pPr>
                        <w:pStyle w:val="MergeField"/>
                        <w:rPr>
                          <w:rStyle w:val="Strong"/>
                          <w:color w:val="4884A2"/>
                        </w:rPr>
                      </w:pPr>
                      <w:r w:rsidRPr="00E00FF6">
                        <w:rPr>
                          <w:rStyle w:val="Strong"/>
                          <w:color w:val="4884A2"/>
                        </w:rPr>
                        <w:t>Provided by Horst Insurance</w:t>
                      </w:r>
                    </w:p>
                  </w:txbxContent>
                </v:textbox>
              </v:shape>
            </w:pict>
          </mc:Fallback>
        </mc:AlternateContent>
      </w:r>
    </w:p>
    <w:p w14:paraId="109A376B" w14:textId="5D341CEE" w:rsidR="00A22068" w:rsidRPr="00E00FF6" w:rsidRDefault="00992EAE" w:rsidP="00E00FF6">
      <w:pPr>
        <w:pStyle w:val="Title"/>
      </w:pPr>
      <w:r>
        <mc:AlternateContent>
          <mc:Choice Requires="wps">
            <w:drawing>
              <wp:anchor distT="0" distB="822960" distL="365760" distR="182880" simplePos="0" relativeHeight="251661312" behindDoc="1" locked="0" layoutInCell="1" allowOverlap="1" wp14:anchorId="30246DF9" wp14:editId="24DD69E4">
                <wp:simplePos x="0" y="0"/>
                <wp:positionH relativeFrom="column">
                  <wp:posOffset>4495800</wp:posOffset>
                </wp:positionH>
                <wp:positionV relativeFrom="page">
                  <wp:posOffset>3080385</wp:posOffset>
                </wp:positionV>
                <wp:extent cx="2423160" cy="5312410"/>
                <wp:effectExtent l="0" t="3810" r="0" b="0"/>
                <wp:wrapSquare wrapText="bothSides"/>
                <wp:docPr id="5"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23160" cy="531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092EB5F" w14:textId="440F0777" w:rsidR="00777DD9" w:rsidRDefault="00992EAE" w:rsidP="000D733F">
                            <w:r>
                              <w:rPr>
                                <w:b/>
                                <w:noProof/>
                                <w:vertAlign w:val="subscript"/>
                              </w:rPr>
                              <w:drawing>
                                <wp:inline distT="0" distB="0" distL="0" distR="0" wp14:anchorId="1253B3C6" wp14:editId="0A74F606">
                                  <wp:extent cx="2217420" cy="373380"/>
                                  <wp:effectExtent l="0" t="0" r="0" b="0"/>
                                  <wp:docPr id="3" name="Picture 9" descr="Highlights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ighlights_BL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7420" cy="373380"/>
                                          </a:xfrm>
                                          <a:prstGeom prst="rect">
                                            <a:avLst/>
                                          </a:prstGeom>
                                          <a:noFill/>
                                          <a:ln>
                                            <a:noFill/>
                                          </a:ln>
                                        </pic:spPr>
                                      </pic:pic>
                                    </a:graphicData>
                                  </a:graphic>
                                </wp:inline>
                              </w:drawing>
                            </w:r>
                          </w:p>
                          <w:p w14:paraId="6F5C4FE3" w14:textId="77777777" w:rsidR="00777DD9" w:rsidRPr="0091138D" w:rsidRDefault="00992EAE" w:rsidP="0091138D">
                            <w:pPr>
                              <w:pStyle w:val="H-Heading"/>
                            </w:pPr>
                            <w:r>
                              <w:t>IMportant Changes</w:t>
                            </w:r>
                          </w:p>
                          <w:p w14:paraId="4371A708" w14:textId="77777777" w:rsidR="007337FA" w:rsidRDefault="00992EAE" w:rsidP="007337FA">
                            <w:pPr>
                              <w:pStyle w:val="H-Bulletlist"/>
                            </w:pPr>
                            <w:r>
                              <w:t>The final rule increases the standard salary level for the EAP exemptions to $684 per week ($35,568 per year).</w:t>
                            </w:r>
                          </w:p>
                          <w:p w14:paraId="7A21C993" w14:textId="77777777" w:rsidR="007337FA" w:rsidRDefault="00992EAE" w:rsidP="007337FA">
                            <w:pPr>
                              <w:pStyle w:val="H-Bulletlist"/>
                            </w:pPr>
                            <w:r>
                              <w:t>The final rule increases the HCE salary level to $107,432 per year.</w:t>
                            </w:r>
                          </w:p>
                          <w:p w14:paraId="7D3F0D47" w14:textId="16FE1EFE" w:rsidR="00777DD9" w:rsidRPr="00F06BC9" w:rsidRDefault="00992EAE" w:rsidP="007337FA">
                            <w:pPr>
                              <w:pStyle w:val="H-Bulletlist"/>
                            </w:pPr>
                            <w:r>
                              <w:t xml:space="preserve">The final rule permits using </w:t>
                            </w:r>
                            <w:r w:rsidR="00242F4B">
                              <w:t xml:space="preserve">an employee’s </w:t>
                            </w:r>
                            <w:r>
                              <w:t xml:space="preserve"> nondiscretionary bonuses to</w:t>
                            </w:r>
                            <w:r w:rsidR="00242F4B">
                              <w:t>ward 10 percent of his or her</w:t>
                            </w:r>
                            <w:r>
                              <w:t xml:space="preserve"> salary level.</w:t>
                            </w:r>
                          </w:p>
                          <w:p w14:paraId="76ED46D0" w14:textId="77777777" w:rsidR="00777DD9" w:rsidRPr="000D733F" w:rsidRDefault="00992EAE" w:rsidP="0091138D">
                            <w:pPr>
                              <w:pStyle w:val="H-Heading"/>
                            </w:pPr>
                            <w:r>
                              <w:t>IMportant Dates</w:t>
                            </w:r>
                          </w:p>
                          <w:p w14:paraId="07C29AAB" w14:textId="77777777" w:rsidR="007337FA" w:rsidRDefault="00992EAE" w:rsidP="007B6849">
                            <w:pPr>
                              <w:pStyle w:val="H-Bulletlist"/>
                            </w:pPr>
                            <w:r w:rsidRPr="007337FA">
                              <w:rPr>
                                <w:b/>
                              </w:rPr>
                              <w:t>Sep</w:t>
                            </w:r>
                            <w:r>
                              <w:rPr>
                                <w:b/>
                              </w:rPr>
                              <w:t>.</w:t>
                            </w:r>
                            <w:r w:rsidRPr="007337FA">
                              <w:rPr>
                                <w:b/>
                              </w:rPr>
                              <w:t xml:space="preserve"> 24, 2019</w:t>
                            </w:r>
                            <w:r>
                              <w:t>: Final overtime rule is announced.</w:t>
                            </w:r>
                          </w:p>
                          <w:p w14:paraId="4FB44466" w14:textId="77777777" w:rsidR="00777DD9" w:rsidRPr="0074776E" w:rsidRDefault="00992EAE" w:rsidP="008A58D5">
                            <w:pPr>
                              <w:pStyle w:val="H-Bulletlist"/>
                            </w:pPr>
                            <w:r w:rsidRPr="007337FA">
                              <w:rPr>
                                <w:b/>
                              </w:rPr>
                              <w:t>Jan</w:t>
                            </w:r>
                            <w:r>
                              <w:rPr>
                                <w:b/>
                              </w:rPr>
                              <w:t>.</w:t>
                            </w:r>
                            <w:r w:rsidRPr="007337FA">
                              <w:rPr>
                                <w:b/>
                              </w:rPr>
                              <w:t xml:space="preserve"> 1, 2020</w:t>
                            </w:r>
                            <w:r>
                              <w:t>: Final overtime rule becomes effective.</w:t>
                            </w:r>
                          </w:p>
                          <w:p w14:paraId="51B0D253" w14:textId="77777777" w:rsidR="00777DD9" w:rsidRPr="00E66D6F" w:rsidRDefault="00777DD9" w:rsidP="00F06BC9">
                            <w:pPr>
                              <w:pStyle w:val="Style1"/>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246DF9" id="Text Box 122" o:spid="_x0000_s1027" type="#_x0000_t202" style="position:absolute;margin-left:354pt;margin-top:242.55pt;width:190.8pt;height:418.3pt;z-index:-251655168;visibility:visible;mso-wrap-style:square;mso-width-percent:0;mso-height-percent:0;mso-wrap-distance-left:28.8pt;mso-wrap-distance-top:0;mso-wrap-distance-right:14.4pt;mso-wrap-distance-bottom:64.8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" filled="f" stroked="f" strokeweight=".5pt">
                <v:path arrowok="t"/>
                <v:textbox>
                  <w:txbxContent>
                    <w:p w14:paraId="1092EB5F" w14:textId="440F0777" w:rsidR="00777DD9" w:rsidRDefault="00992EAE" w:rsidP="000D733F">
                      <w:r>
                        <w:rPr>
                          <w:b/>
                          <w:noProof/>
                          <w:vertAlign w:val="subscript"/>
                        </w:rPr>
                        <w:drawing>
                          <wp:inline distT="0" distB="0" distL="0" distR="0" wp14:anchorId="1253B3C6" wp14:editId="0A74F606">
                            <wp:extent cx="2217420" cy="373380"/>
                            <wp:effectExtent l="0" t="0" r="0" b="0"/>
                            <wp:docPr id="3" name="Picture 9" descr="Highlights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ighlights_BL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7420" cy="373380"/>
                                    </a:xfrm>
                                    <a:prstGeom prst="rect">
                                      <a:avLst/>
                                    </a:prstGeom>
                                    <a:noFill/>
                                    <a:ln>
                                      <a:noFill/>
                                    </a:ln>
                                  </pic:spPr>
                                </pic:pic>
                              </a:graphicData>
                            </a:graphic>
                          </wp:inline>
                        </w:drawing>
                      </w:r>
                    </w:p>
                    <w:p w14:paraId="6F5C4FE3" w14:textId="77777777" w:rsidR="00777DD9" w:rsidRPr="0091138D" w:rsidRDefault="00992EAE" w:rsidP="0091138D">
                      <w:pPr>
                        <w:pStyle w:val="H-Heading"/>
                      </w:pPr>
                      <w:r>
                        <w:t>IMportant Changes</w:t>
                      </w:r>
                    </w:p>
                    <w:p w14:paraId="4371A708" w14:textId="77777777" w:rsidR="007337FA" w:rsidRDefault="00992EAE" w:rsidP="007337FA">
                      <w:pPr>
                        <w:pStyle w:val="H-Bulletlist"/>
                      </w:pPr>
                      <w:r>
                        <w:t>The final rule increases the standard salary level for the EAP exemptions to $684 per week ($35,568 per year).</w:t>
                      </w:r>
                    </w:p>
                    <w:p w14:paraId="7A21C993" w14:textId="77777777" w:rsidR="007337FA" w:rsidRDefault="00992EAE" w:rsidP="007337FA">
                      <w:pPr>
                        <w:pStyle w:val="H-Bulletlist"/>
                      </w:pPr>
                      <w:r>
                        <w:t>The final rule increases the HCE salary level to $107,432 per year.</w:t>
                      </w:r>
                    </w:p>
                    <w:p w14:paraId="7D3F0D47" w14:textId="16FE1EFE" w:rsidR="00777DD9" w:rsidRPr="00F06BC9" w:rsidRDefault="00992EAE" w:rsidP="007337FA">
                      <w:pPr>
                        <w:pStyle w:val="H-Bulletlist"/>
                      </w:pPr>
                      <w:r>
                        <w:t xml:space="preserve">The final rule permits using </w:t>
                      </w:r>
                      <w:r w:rsidR="00242F4B">
                        <w:t xml:space="preserve">an employee’s </w:t>
                      </w:r>
                      <w:r>
                        <w:t xml:space="preserve"> nondiscretionary bonuses to</w:t>
                      </w:r>
                      <w:r w:rsidR="00242F4B">
                        <w:t>ward 10 percent of his or her</w:t>
                      </w:r>
                      <w:r>
                        <w:t xml:space="preserve"> salary level.</w:t>
                      </w:r>
                    </w:p>
                    <w:p w14:paraId="76ED46D0" w14:textId="77777777" w:rsidR="00777DD9" w:rsidRPr="000D733F" w:rsidRDefault="00992EAE" w:rsidP="0091138D">
                      <w:pPr>
                        <w:pStyle w:val="H-Heading"/>
                      </w:pPr>
                      <w:r>
                        <w:t>IMportant Dates</w:t>
                      </w:r>
                    </w:p>
                    <w:p w14:paraId="07C29AAB" w14:textId="77777777" w:rsidR="007337FA" w:rsidRDefault="00992EAE" w:rsidP="007B6849">
                      <w:pPr>
                        <w:pStyle w:val="H-Bulletlist"/>
                      </w:pPr>
                      <w:r w:rsidRPr="007337FA">
                        <w:rPr>
                          <w:b/>
                        </w:rPr>
                        <w:t>Sep</w:t>
                      </w:r>
                      <w:r>
                        <w:rPr>
                          <w:b/>
                        </w:rPr>
                        <w:t>.</w:t>
                      </w:r>
                      <w:r w:rsidRPr="007337FA">
                        <w:rPr>
                          <w:b/>
                        </w:rPr>
                        <w:t xml:space="preserve"> 24, 2019</w:t>
                      </w:r>
                      <w:r>
                        <w:t>: Final overtime rule is announced.</w:t>
                      </w:r>
                    </w:p>
                    <w:p w14:paraId="4FB44466" w14:textId="77777777" w:rsidR="00777DD9" w:rsidRPr="0074776E" w:rsidRDefault="00992EAE" w:rsidP="008A58D5">
                      <w:pPr>
                        <w:pStyle w:val="H-Bulletlist"/>
                      </w:pPr>
                      <w:r w:rsidRPr="007337FA">
                        <w:rPr>
                          <w:b/>
                        </w:rPr>
                        <w:t>Jan</w:t>
                      </w:r>
                      <w:r>
                        <w:rPr>
                          <w:b/>
                        </w:rPr>
                        <w:t>.</w:t>
                      </w:r>
                      <w:r w:rsidRPr="007337FA">
                        <w:rPr>
                          <w:b/>
                        </w:rPr>
                        <w:t xml:space="preserve"> 1, 2020</w:t>
                      </w:r>
                      <w:r>
                        <w:t>: Final overtime rule becomes effective.</w:t>
                      </w:r>
                    </w:p>
                    <w:p w14:paraId="51B0D253" w14:textId="77777777" w:rsidR="00777DD9" w:rsidRPr="00E66D6F" w:rsidRDefault="00777DD9" w:rsidP="00F06BC9">
                      <w:pPr>
                        <w:pStyle w:val="Style1"/>
                      </w:pPr>
                    </w:p>
                  </w:txbxContent>
                </v:textbox>
                <w10:wrap type="square" anchory="page"/>
              </v:shape>
            </w:pict>
          </mc:Fallback>
        </mc:AlternateContent>
      </w:r>
      <w:r w:rsidR="0063347E">
        <w:t xml:space="preserve">DOL </w:t>
      </w:r>
      <w:r w:rsidR="007337FA">
        <w:t>Fact Sheet</w:t>
      </w:r>
      <w:r w:rsidR="00BF7533">
        <w:t>: Final Overtime Rule</w:t>
      </w:r>
    </w:p>
    <w:p w14:paraId="074CD120" w14:textId="076916CD" w:rsidR="007337FA" w:rsidRPr="007337FA" w:rsidRDefault="00992EAE" w:rsidP="007337FA">
      <w:pPr>
        <w:pStyle w:val="BodyText"/>
      </w:pPr>
      <w:bookmarkStart w:id="0" w:name="OLE_LINK3"/>
      <w:r w:rsidRPr="007337FA">
        <w:t xml:space="preserve">The Department of Labor </w:t>
      </w:r>
      <w:r w:rsidRPr="007337FA">
        <w:t>(Department) is updating the earnings</w:t>
      </w:r>
      <w:r w:rsidR="00ED165C">
        <w:t xml:space="preserve"> </w:t>
      </w:r>
      <w:r w:rsidRPr="007337FA">
        <w:t>thresholds necessary to exempt executive, administrative or professional</w:t>
      </w:r>
      <w:r w:rsidR="008B19F1">
        <w:t xml:space="preserve"> (EAP)</w:t>
      </w:r>
      <w:r w:rsidRPr="007337FA">
        <w:t xml:space="preserve"> employees from the </w:t>
      </w:r>
      <w:r w:rsidR="00EC4817">
        <w:t>Fair Labor Standards Act (</w:t>
      </w:r>
      <w:r w:rsidRPr="007337FA">
        <w:t>FLSA</w:t>
      </w:r>
      <w:r w:rsidR="00EC4817">
        <w:t>)</w:t>
      </w:r>
      <w:r w:rsidRPr="007337FA">
        <w:t xml:space="preserve"> minimum wage and overtime pay requirements. </w:t>
      </w:r>
    </w:p>
    <w:p w14:paraId="28FF7684" w14:textId="47DEF69A" w:rsidR="007337FA" w:rsidRDefault="00992EAE" w:rsidP="007337FA">
      <w:pPr>
        <w:pStyle w:val="BodyText"/>
      </w:pPr>
      <w:bookmarkStart w:id="1" w:name="OLE_LINK4"/>
      <w:bookmarkStart w:id="2" w:name="_GoBack"/>
      <w:bookmarkEnd w:id="0"/>
      <w:r w:rsidRPr="007337FA">
        <w:t>The Department is updating both the minimum</w:t>
      </w:r>
      <w:r w:rsidRPr="007337FA">
        <w:t xml:space="preserve"> weekly standard salary level and the total annual compensation requirement for “highly compensated employees” </w:t>
      </w:r>
      <w:r w:rsidR="006F0636">
        <w:t xml:space="preserve">(HCEs) </w:t>
      </w:r>
      <w:r w:rsidRPr="007337FA">
        <w:t>to reflect growth in wages and salaries. The new thresholds account for growth in employee earnings since the currently enforced threshold</w:t>
      </w:r>
      <w:r w:rsidRPr="007337FA">
        <w:t xml:space="preserve">s were set in 2004. The Department believes that the update to the standard salary level will maintain the traditional purposes of the salary level test and will help employers more readily identify exempt employees. </w:t>
      </w:r>
    </w:p>
    <w:bookmarkEnd w:id="1"/>
    <w:bookmarkEnd w:id="2"/>
    <w:p w14:paraId="6B728123" w14:textId="77777777" w:rsidR="00EC4817" w:rsidRPr="007337FA" w:rsidRDefault="00992EAE" w:rsidP="007337FA">
      <w:pPr>
        <w:pStyle w:val="BodyText"/>
      </w:pPr>
      <w:r w:rsidRPr="007337FA">
        <w:t>The Department estimates that</w:t>
      </w:r>
      <w:r>
        <w:t>,</w:t>
      </w:r>
      <w:r w:rsidRPr="007337FA">
        <w:t xml:space="preserve"> as a re</w:t>
      </w:r>
      <w:r w:rsidRPr="007337FA">
        <w:t>sult of the final rule</w:t>
      </w:r>
      <w:r>
        <w:t>,</w:t>
      </w:r>
      <w:r w:rsidRPr="007337FA">
        <w:t xml:space="preserve"> 1.3 million currently exempt employees will become nonexempt.</w:t>
      </w:r>
    </w:p>
    <w:p w14:paraId="22D11E18" w14:textId="77777777" w:rsidR="007414C5" w:rsidRDefault="007414C5" w:rsidP="007201D3">
      <w:pPr>
        <w:pStyle w:val="BodyText"/>
        <w:sectPr w:rsidR="007414C5" w:rsidSect="00451D29">
          <w:headerReference w:type="default" r:id="rId12"/>
          <w:footerReference w:type="default" r:id="rId13"/>
          <w:type w:val="continuous"/>
          <w:pgSz w:w="12240" w:h="15840"/>
          <w:pgMar w:top="1620" w:right="720" w:bottom="720" w:left="720" w:header="720" w:footer="389" w:gutter="0"/>
          <w:cols w:space="720"/>
          <w:docGrid w:linePitch="360"/>
        </w:sectPr>
      </w:pPr>
    </w:p>
    <w:p w14:paraId="76EEF636" w14:textId="058FC0CC" w:rsidR="006A3248" w:rsidRPr="006A3248" w:rsidRDefault="00992EAE" w:rsidP="00EC4817">
      <w:pPr>
        <w:pStyle w:val="Heading1"/>
      </w:pPr>
      <w:r>
        <w:rPr>
          <w:noProof/>
        </w:rPr>
        <mc:AlternateContent>
          <mc:Choice Requires="wps">
            <w:drawing>
              <wp:anchor distT="0" distB="0" distL="114300" distR="114300" simplePos="0" relativeHeight="251660288" behindDoc="0" locked="0" layoutInCell="1" allowOverlap="1" wp14:anchorId="1A14CF64" wp14:editId="35C299B7">
                <wp:simplePos x="0" y="0"/>
                <wp:positionH relativeFrom="column">
                  <wp:posOffset>-467995</wp:posOffset>
                </wp:positionH>
                <wp:positionV relativeFrom="page">
                  <wp:posOffset>6677025</wp:posOffset>
                </wp:positionV>
                <wp:extent cx="4114800" cy="2112010"/>
                <wp:effectExtent l="8255" t="0" r="1270" b="2540"/>
                <wp:wrapTopAndBottom/>
                <wp:docPr id="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112010"/>
                        </a:xfrm>
                        <a:prstGeom prst="rect">
                          <a:avLst/>
                        </a:prstGeom>
                        <a:solidFill>
                          <a:srgbClr val="82B0CC">
                            <a:alpha val="20000"/>
                          </a:srgb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F681C59" w14:textId="77777777" w:rsidR="007337FA" w:rsidRPr="007201D3" w:rsidRDefault="00992EAE" w:rsidP="007337FA">
                            <w:pPr>
                              <w:pStyle w:val="LR-Heading"/>
                            </w:pPr>
                            <w:r w:rsidRPr="007201D3">
                              <w:t>Links and Resources</w:t>
                            </w:r>
                          </w:p>
                          <w:p w14:paraId="281439B5" w14:textId="2DF7B31E" w:rsidR="007337FA" w:rsidRPr="00F06BC9" w:rsidRDefault="00992EAE" w:rsidP="007337FA">
                            <w:pPr>
                              <w:pStyle w:val="LR-Text"/>
                            </w:pPr>
                            <w:r w:rsidRPr="007201D3">
                              <w:t xml:space="preserve">The DOL has </w:t>
                            </w:r>
                            <w:r>
                              <w:t>published the following resources to help employers prepare for and understand the final white</w:t>
                            </w:r>
                            <w:r w:rsidR="00BF7533">
                              <w:t xml:space="preserve"> </w:t>
                            </w:r>
                            <w:r>
                              <w:t>coll</w:t>
                            </w:r>
                            <w:r>
                              <w:t xml:space="preserve">ar overtime exemption rule. </w:t>
                            </w:r>
                            <w:r w:rsidR="00BF7533" w:rsidRPr="00BF7533">
                              <w:t xml:space="preserve">The </w:t>
                            </w:r>
                            <w:r w:rsidR="00BF7533">
                              <w:t>DOL’s</w:t>
                            </w:r>
                            <w:r w:rsidR="00BF7533" w:rsidRPr="00BF7533">
                              <w:t xml:space="preserve"> final rule is available</w:t>
                            </w:r>
                            <w:r w:rsidR="00BF7533">
                              <w:t xml:space="preserve"> </w:t>
                            </w:r>
                            <w:hyperlink r:id="rId14" w:history="1">
                              <w:r w:rsidR="00BF7533" w:rsidRPr="00BF7533">
                                <w:rPr>
                                  <w:rStyle w:val="Hyperlink"/>
                                </w:rPr>
                                <w:t>here</w:t>
                              </w:r>
                            </w:hyperlink>
                            <w:r w:rsidR="00BF7533">
                              <w:t xml:space="preserve">. </w:t>
                            </w:r>
                          </w:p>
                          <w:p w14:paraId="2AF69126" w14:textId="77777777" w:rsidR="007337FA" w:rsidRDefault="00992EAE" w:rsidP="007337FA">
                            <w:pPr>
                              <w:pStyle w:val="LR-BulletList"/>
                            </w:pPr>
                            <w:hyperlink r:id="rId15" w:history="1">
                              <w:r w:rsidR="00BF7533" w:rsidRPr="00BF7533">
                                <w:rPr>
                                  <w:rStyle w:val="Hyperlink"/>
                                </w:rPr>
                                <w:t>Frequently Asked Questions</w:t>
                              </w:r>
                            </w:hyperlink>
                          </w:p>
                          <w:p w14:paraId="502B21B7" w14:textId="77777777" w:rsidR="00BF7533" w:rsidRDefault="00992EAE" w:rsidP="007337FA">
                            <w:pPr>
                              <w:pStyle w:val="LR-BulletList"/>
                            </w:pPr>
                            <w:hyperlink r:id="rId16" w:history="1">
                              <w:r w:rsidRPr="00BF7533">
                                <w:rPr>
                                  <w:rStyle w:val="Hyperlink"/>
                                </w:rPr>
                                <w:t>Small Entity Compliance Guide</w:t>
                              </w:r>
                            </w:hyperlink>
                          </w:p>
                          <w:p w14:paraId="21B94B30" w14:textId="77777777" w:rsidR="00BF7533" w:rsidRPr="00F06BC9" w:rsidRDefault="00992EAE" w:rsidP="007337FA">
                            <w:pPr>
                              <w:pStyle w:val="LR-BulletList"/>
                            </w:pPr>
                            <w:hyperlink r:id="rId17" w:history="1">
                              <w:r w:rsidRPr="00BF7533">
                                <w:rPr>
                                  <w:rStyle w:val="Hyperlink"/>
                                </w:rPr>
                                <w:t>General overtime pay information</w:t>
                              </w:r>
                            </w:hyperlink>
                          </w:p>
                          <w:p w14:paraId="2F957482" w14:textId="77777777" w:rsidR="00F01360" w:rsidRDefault="00F0136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14CF64" id="Text Box 65" o:spid="_x0000_s1028" type="#_x0000_t202" style="position:absolute;margin-left:-36.85pt;margin-top:525.75pt;width:324pt;height:16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" fillcolor="#82b0cc" stroked="f" strokeweight=".5pt">
                <v:fill opacity="13107f"/>
                <v:textbox>
                  <w:txbxContent>
                    <w:p w14:paraId="0F681C59" w14:textId="77777777" w:rsidR="007337FA" w:rsidRPr="007201D3" w:rsidRDefault="00992EAE" w:rsidP="007337FA">
                      <w:pPr>
                        <w:pStyle w:val="LR-Heading"/>
                      </w:pPr>
                      <w:r w:rsidRPr="007201D3">
                        <w:t>Links and Resources</w:t>
                      </w:r>
                    </w:p>
                    <w:p w14:paraId="281439B5" w14:textId="2DF7B31E" w:rsidR="007337FA" w:rsidRPr="00F06BC9" w:rsidRDefault="00992EAE" w:rsidP="007337FA">
                      <w:pPr>
                        <w:pStyle w:val="LR-Text"/>
                      </w:pPr>
                      <w:r w:rsidRPr="007201D3">
                        <w:t xml:space="preserve">The DOL has </w:t>
                      </w:r>
                      <w:r>
                        <w:t>published the following resources to help employers prepare for and understand the final white</w:t>
                      </w:r>
                      <w:r w:rsidR="00BF7533">
                        <w:t xml:space="preserve"> </w:t>
                      </w:r>
                      <w:r>
                        <w:t>coll</w:t>
                      </w:r>
                      <w:r>
                        <w:t xml:space="preserve">ar overtime exemption rule. </w:t>
                      </w:r>
                      <w:r w:rsidR="00BF7533" w:rsidRPr="00BF7533">
                        <w:t xml:space="preserve">The </w:t>
                      </w:r>
                      <w:r w:rsidR="00BF7533">
                        <w:t>DOL’s</w:t>
                      </w:r>
                      <w:r w:rsidR="00BF7533" w:rsidRPr="00BF7533">
                        <w:t xml:space="preserve"> final rule is available</w:t>
                      </w:r>
                      <w:r w:rsidR="00BF7533">
                        <w:t xml:space="preserve"> </w:t>
                      </w:r>
                      <w:hyperlink r:id="rId18" w:history="1">
                        <w:r w:rsidR="00BF7533" w:rsidRPr="00BF7533">
                          <w:rPr>
                            <w:rStyle w:val="Hyperlink"/>
                          </w:rPr>
                          <w:t>here</w:t>
                        </w:r>
                      </w:hyperlink>
                      <w:r w:rsidR="00BF7533">
                        <w:t xml:space="preserve">. </w:t>
                      </w:r>
                    </w:p>
                    <w:p w14:paraId="2AF69126" w14:textId="77777777" w:rsidR="007337FA" w:rsidRDefault="00992EAE" w:rsidP="007337FA">
                      <w:pPr>
                        <w:pStyle w:val="LR-BulletList"/>
                      </w:pPr>
                      <w:hyperlink r:id="rId19" w:history="1">
                        <w:r w:rsidR="00BF7533" w:rsidRPr="00BF7533">
                          <w:rPr>
                            <w:rStyle w:val="Hyperlink"/>
                          </w:rPr>
                          <w:t>Frequently Asked Questions</w:t>
                        </w:r>
                      </w:hyperlink>
                    </w:p>
                    <w:p w14:paraId="502B21B7" w14:textId="77777777" w:rsidR="00BF7533" w:rsidRDefault="00992EAE" w:rsidP="007337FA">
                      <w:pPr>
                        <w:pStyle w:val="LR-BulletList"/>
                      </w:pPr>
                      <w:hyperlink r:id="rId20" w:history="1">
                        <w:r w:rsidRPr="00BF7533">
                          <w:rPr>
                            <w:rStyle w:val="Hyperlink"/>
                          </w:rPr>
                          <w:t>Small Entity Compliance Guide</w:t>
                        </w:r>
                      </w:hyperlink>
                    </w:p>
                    <w:p w14:paraId="21B94B30" w14:textId="77777777" w:rsidR="00BF7533" w:rsidRPr="00F06BC9" w:rsidRDefault="00992EAE" w:rsidP="007337FA">
                      <w:pPr>
                        <w:pStyle w:val="LR-BulletList"/>
                      </w:pPr>
                      <w:hyperlink r:id="rId21" w:history="1">
                        <w:r w:rsidRPr="00BF7533">
                          <w:rPr>
                            <w:rStyle w:val="Hyperlink"/>
                          </w:rPr>
                          <w:t>General overtime pay information</w:t>
                        </w:r>
                      </w:hyperlink>
                    </w:p>
                    <w:p w14:paraId="2F957482" w14:textId="77777777" w:rsidR="00F01360" w:rsidRDefault="00F01360"/>
                  </w:txbxContent>
                </v:textbox>
                <w10:wrap type="topAndBottom" anchory="page"/>
              </v:shape>
            </w:pict>
          </mc:Fallback>
        </mc:AlternateContent>
      </w:r>
      <w:r w:rsidR="007337FA">
        <w:br w:type="page"/>
      </w:r>
      <w:r w:rsidR="006A3248" w:rsidRPr="006A3248">
        <w:lastRenderedPageBreak/>
        <w:t>Key Provisions of the Final Rule</w:t>
      </w:r>
    </w:p>
    <w:p w14:paraId="48687512" w14:textId="77777777" w:rsidR="006A3248" w:rsidRPr="006A3248" w:rsidRDefault="00992EAE" w:rsidP="006A3248">
      <w:pPr>
        <w:pStyle w:val="BodyText"/>
      </w:pPr>
      <w:r w:rsidRPr="006A3248">
        <w:t>The final rule updates the salary and compensation levels needed for workers to be exempt in the final rule:</w:t>
      </w:r>
    </w:p>
    <w:p w14:paraId="6A600C54" w14:textId="77777777" w:rsidR="006A3248" w:rsidRPr="006A3248" w:rsidRDefault="00992EAE" w:rsidP="0063347E">
      <w:pPr>
        <w:pStyle w:val="BodyText"/>
        <w:numPr>
          <w:ilvl w:val="0"/>
          <w:numId w:val="17"/>
        </w:numPr>
        <w:spacing w:before="120" w:after="0"/>
      </w:pPr>
      <w:r>
        <w:t>R</w:t>
      </w:r>
      <w:r w:rsidRPr="006A3248">
        <w:t xml:space="preserve">aising the “standard </w:t>
      </w:r>
      <w:r w:rsidRPr="006A3248">
        <w:t>salary level” from the currently enforced level of $455 to $684 per week (equivalent to $35,568 per year for a full-year worker);</w:t>
      </w:r>
    </w:p>
    <w:p w14:paraId="01C5D5BA" w14:textId="1DA71717" w:rsidR="006A3248" w:rsidRPr="006A3248" w:rsidRDefault="00992EAE" w:rsidP="0063347E">
      <w:pPr>
        <w:pStyle w:val="BodyText"/>
        <w:numPr>
          <w:ilvl w:val="0"/>
          <w:numId w:val="17"/>
        </w:numPr>
        <w:spacing w:before="120" w:after="0"/>
      </w:pPr>
      <w:r>
        <w:t>R</w:t>
      </w:r>
      <w:r w:rsidRPr="006A3248">
        <w:t>aising the total annual compensation level for HCEs from the currently</w:t>
      </w:r>
      <w:r w:rsidR="00E96E65">
        <w:t xml:space="preserve"> </w:t>
      </w:r>
      <w:r w:rsidRPr="006A3248">
        <w:t>enforced level of $100,000 to $107,432 per year;</w:t>
      </w:r>
    </w:p>
    <w:p w14:paraId="1DA4E091" w14:textId="77777777" w:rsidR="006A3248" w:rsidRPr="006A3248" w:rsidRDefault="00992EAE" w:rsidP="0063347E">
      <w:pPr>
        <w:pStyle w:val="BodyText"/>
        <w:numPr>
          <w:ilvl w:val="0"/>
          <w:numId w:val="17"/>
        </w:numPr>
        <w:spacing w:before="120" w:after="0"/>
      </w:pPr>
      <w:r>
        <w:t>A</w:t>
      </w:r>
      <w:r w:rsidRPr="006A3248">
        <w:t>llowing employers to use nondiscretionary bonuses and incentive payments (including commissions) that are paid at least annually to satisfy up to 10 percent of the standard salary level, in recognition of evolving pay practices; and</w:t>
      </w:r>
    </w:p>
    <w:p w14:paraId="5947E3A8" w14:textId="77777777" w:rsidR="006A3248" w:rsidRPr="006A3248" w:rsidRDefault="00992EAE" w:rsidP="0063347E">
      <w:pPr>
        <w:pStyle w:val="BodyText"/>
        <w:numPr>
          <w:ilvl w:val="0"/>
          <w:numId w:val="17"/>
        </w:numPr>
        <w:spacing w:before="120" w:after="0"/>
      </w:pPr>
      <w:r>
        <w:t>R</w:t>
      </w:r>
      <w:r w:rsidRPr="006A3248">
        <w:t>evising the special sa</w:t>
      </w:r>
      <w:r w:rsidRPr="006A3248">
        <w:t>lary levels for workers in U.S. territories and in the motion picture industry.</w:t>
      </w:r>
    </w:p>
    <w:p w14:paraId="35F591BA" w14:textId="2E2D8507" w:rsidR="006A3248" w:rsidRPr="006A3248" w:rsidRDefault="00992EAE" w:rsidP="006A3248">
      <w:pPr>
        <w:pStyle w:val="BodyText"/>
      </w:pPr>
      <w:r w:rsidRPr="006A3248">
        <w:t xml:space="preserve">Additionally, the Department intends to update the standard salary and </w:t>
      </w:r>
      <w:r w:rsidRPr="00365527">
        <w:t>HCE</w:t>
      </w:r>
      <w:r w:rsidRPr="006A3248">
        <w:t xml:space="preserve"> total annual compensation levels more regularly in the future through notice-and-comment rulemaking.</w:t>
      </w:r>
    </w:p>
    <w:p w14:paraId="28E4636A" w14:textId="77777777" w:rsidR="006A3248" w:rsidRPr="006A3248" w:rsidRDefault="00992EAE" w:rsidP="007337FA">
      <w:pPr>
        <w:pStyle w:val="Heading1"/>
      </w:pPr>
      <w:r w:rsidRPr="006A3248">
        <w:t>Standard Salary Level</w:t>
      </w:r>
    </w:p>
    <w:p w14:paraId="5CC6A0FD" w14:textId="77777777" w:rsidR="00BF7533" w:rsidRDefault="00992EAE" w:rsidP="006A3248">
      <w:pPr>
        <w:pStyle w:val="BodyText"/>
      </w:pPr>
      <w:r w:rsidRPr="006A3248">
        <w:t>The Department is setting the standard salary level at $684 per week ($35,568 for a full-year worker). The salary amount accounts for wage growth since the 2004 rulemaking by using the most current data available at the time the Depar</w:t>
      </w:r>
      <w:r w:rsidRPr="006A3248">
        <w:t xml:space="preserve">tment drafted the final rule. </w:t>
      </w:r>
    </w:p>
    <w:p w14:paraId="4B1AEEB0" w14:textId="77777777" w:rsidR="006A3248" w:rsidRPr="006A3248" w:rsidRDefault="00992EAE" w:rsidP="006A3248">
      <w:pPr>
        <w:pStyle w:val="BodyText"/>
      </w:pPr>
      <w:r w:rsidRPr="006A3248">
        <w:t>The Department is updating the standard salary level set in 2004 by applying to current data the same method and long-standing calculations used to set that level in 2004—i.e., by looking at the 20th percentile of earnings of</w:t>
      </w:r>
      <w:r w:rsidRPr="006A3248">
        <w:t xml:space="preserve"> full-time salaried workers in the lowest-wage census region (then and now the South), and/or in the retail sector nationwide.</w:t>
      </w:r>
    </w:p>
    <w:p w14:paraId="6343BB8A" w14:textId="77777777" w:rsidR="006A3248" w:rsidRPr="006A3248" w:rsidRDefault="00992EAE" w:rsidP="007337FA">
      <w:pPr>
        <w:pStyle w:val="Heading1"/>
      </w:pPr>
      <w:r w:rsidRPr="006A3248">
        <w:t>HCE Total Annual Compensation Requirement</w:t>
      </w:r>
    </w:p>
    <w:p w14:paraId="387E82A9" w14:textId="77777777" w:rsidR="006A3248" w:rsidRPr="006A3248" w:rsidRDefault="00992EAE" w:rsidP="006A3248">
      <w:pPr>
        <w:pStyle w:val="BodyText"/>
      </w:pPr>
      <w:r w:rsidRPr="006A3248">
        <w:t>The Department is setting the total annual compensation requirement for HCEs at $107,43</w:t>
      </w:r>
      <w:r w:rsidRPr="006A3248">
        <w:t>2 per year. This compensation level equals the earnings of the 80th percentile of full-time salaried workers nationally. To be exempt as an HCE, an employee must also receive at least the new standard salary amount of $684 per week on a salary or fee basis</w:t>
      </w:r>
      <w:r w:rsidRPr="006A3248">
        <w:t xml:space="preserve"> (without regard to the payment of nondiscretionary bonuses and incentive payments).</w:t>
      </w:r>
    </w:p>
    <w:p w14:paraId="68676BF4" w14:textId="77777777" w:rsidR="006A3248" w:rsidRPr="006A3248" w:rsidRDefault="00992EAE" w:rsidP="007337FA">
      <w:pPr>
        <w:pStyle w:val="Heading1"/>
      </w:pPr>
      <w:r w:rsidRPr="006A3248">
        <w:t>Special Salary Levels for Employees in U.S. Territories and Special Base Rate for the Motion Picture Producing Industry</w:t>
      </w:r>
    </w:p>
    <w:p w14:paraId="62A55252" w14:textId="77777777" w:rsidR="006A3248" w:rsidRPr="006A3248" w:rsidRDefault="00992EAE" w:rsidP="006A3248">
      <w:pPr>
        <w:pStyle w:val="BodyText"/>
      </w:pPr>
      <w:r w:rsidRPr="006A3248">
        <w:t>The Department is maintaining a special salary leve</w:t>
      </w:r>
      <w:r w:rsidRPr="006A3248">
        <w:t>l of $380 per week for American Samoa because minimum wage rates there have remained lower than the federal minimum wage. Additionally, the Department is setting a special salary level of $455 per week for employees in Puerto Rico, the U.S. Virgin Islands,</w:t>
      </w:r>
      <w:r w:rsidRPr="006A3248">
        <w:t xml:space="preserve"> Guam, and the Commonwealth of the Northern Mariana Islands.</w:t>
      </w:r>
    </w:p>
    <w:p w14:paraId="7B53F617" w14:textId="77777777" w:rsidR="006A3248" w:rsidRPr="006A3248" w:rsidRDefault="00992EAE" w:rsidP="006A3248">
      <w:pPr>
        <w:pStyle w:val="BodyText"/>
      </w:pPr>
      <w:r w:rsidRPr="006A3248">
        <w:lastRenderedPageBreak/>
        <w:t>The Department also is maintaining a special “base rate” threshold for employees in the motion picture producing industry. Consistent with prior rulemakings, the Department is increasing the requ</w:t>
      </w:r>
      <w:r w:rsidRPr="006A3248">
        <w:t>ired base rate proportionally to the increase in the standard salary level test, resulting in a new base rate of $1,043 per week (or a proportionate amount based on the number of days worked).</w:t>
      </w:r>
    </w:p>
    <w:p w14:paraId="5F14DC8B" w14:textId="77777777" w:rsidR="006A3248" w:rsidRPr="006A3248" w:rsidRDefault="00992EAE" w:rsidP="007337FA">
      <w:pPr>
        <w:pStyle w:val="Heading1"/>
      </w:pPr>
      <w:r w:rsidRPr="006A3248">
        <w:t>Treatment of Nondiscretionary Bonuses and Incentive Payments</w:t>
      </w:r>
    </w:p>
    <w:p w14:paraId="3E5DBB01" w14:textId="77777777" w:rsidR="006A3248" w:rsidRPr="006A3248" w:rsidRDefault="00992EAE" w:rsidP="006A3248">
      <w:pPr>
        <w:pStyle w:val="BodyText"/>
      </w:pPr>
      <w:r w:rsidRPr="006A3248">
        <w:t>In</w:t>
      </w:r>
      <w:r w:rsidRPr="006A3248">
        <w:t xml:space="preserve"> the final rule, in recognition of evolving pay practices, the Department also permits employers to use nondiscretionary bonuses and incentive payments to satisfy up to 10 percent of the standard salary level. For employers to credit nondiscretionary bonus</w:t>
      </w:r>
      <w:r w:rsidRPr="006A3248">
        <w:t>es and incentive payments toward a portion of the standard salary level test, they must make such payments on an annual or more frequent basis.</w:t>
      </w:r>
    </w:p>
    <w:p w14:paraId="2CDBEE88" w14:textId="77777777" w:rsidR="006A3248" w:rsidRPr="006A3248" w:rsidRDefault="00992EAE" w:rsidP="006A3248">
      <w:pPr>
        <w:pStyle w:val="BodyText"/>
      </w:pPr>
      <w:r w:rsidRPr="006A3248">
        <w:t>If an employee does not earn enough in nondiscretionary bonus or incentive payments in a given year (52-week per</w:t>
      </w:r>
      <w:r w:rsidRPr="006A3248">
        <w:t>iod) to retain his or her exempt status, the Department permits the employer to make a “catch-up” payment within one pay period of the end of the 52-week period. This payment may be up to 10 percent of the total standard salary level for the preceding 52-w</w:t>
      </w:r>
      <w:r w:rsidRPr="006A3248">
        <w:t>eek period. Any such catch-up payment will count only toward the prior year’s salary amount and not toward the salary amount in the year in which it is paid.</w:t>
      </w:r>
    </w:p>
    <w:p w14:paraId="0C5A90BB" w14:textId="77777777" w:rsidR="006A3248" w:rsidRPr="006A3248" w:rsidRDefault="00992EAE" w:rsidP="007337FA">
      <w:pPr>
        <w:pStyle w:val="Heading1"/>
      </w:pPr>
      <w:r w:rsidRPr="006A3248">
        <w:t>Updating</w:t>
      </w:r>
    </w:p>
    <w:p w14:paraId="096F07B1" w14:textId="77777777" w:rsidR="006A3248" w:rsidRPr="006A3248" w:rsidRDefault="00992EAE" w:rsidP="006A3248">
      <w:pPr>
        <w:pStyle w:val="BodyText"/>
      </w:pPr>
      <w:r w:rsidRPr="006A3248">
        <w:t>Experience has shown that fixed earning thresholds become substantially less effective ov</w:t>
      </w:r>
      <w:r w:rsidRPr="006A3248">
        <w:t>er time. Additionally, lengthy delays between updates necessitate disruptively large increases when overdue updates finally occur. Accordingly, in the final rule the Department reaffirms its intent to update the earnings thresholds more regularly in the fu</w:t>
      </w:r>
      <w:r w:rsidRPr="006A3248">
        <w:t>ture through notice-and-comment rulemaking.</w:t>
      </w:r>
    </w:p>
    <w:p w14:paraId="0386B5CB" w14:textId="77777777" w:rsidR="007337FA" w:rsidRPr="006A3248" w:rsidRDefault="007337FA" w:rsidP="006A3248">
      <w:pPr>
        <w:pStyle w:val="BodyText"/>
      </w:pPr>
    </w:p>
    <w:p w14:paraId="61F8F1D4" w14:textId="77777777" w:rsidR="006A3248" w:rsidRPr="007337FA" w:rsidRDefault="00992EAE" w:rsidP="007337FA">
      <w:pPr>
        <w:pStyle w:val="BodyText"/>
        <w:jc w:val="right"/>
        <w:rPr>
          <w:i/>
        </w:rPr>
      </w:pPr>
      <w:r w:rsidRPr="007337FA">
        <w:rPr>
          <w:i/>
        </w:rPr>
        <w:t>Source: U.S. Department of Labor</w:t>
      </w:r>
    </w:p>
    <w:sectPr w:rsidR="006A3248" w:rsidRPr="007337FA" w:rsidSect="007414C5">
      <w:type w:val="continuous"/>
      <w:pgSz w:w="12240" w:h="15840"/>
      <w:pgMar w:top="1627" w:right="1440" w:bottom="720"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E5A73" w14:textId="77777777" w:rsidR="00000000" w:rsidRDefault="00992EAE">
      <w:pPr>
        <w:spacing w:after="0" w:line="240" w:lineRule="auto"/>
      </w:pPr>
      <w:r>
        <w:separator/>
      </w:r>
    </w:p>
  </w:endnote>
  <w:endnote w:type="continuationSeparator" w:id="0">
    <w:p w14:paraId="71C81370" w14:textId="77777777" w:rsidR="00000000" w:rsidRDefault="00992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C83F4" w14:textId="759F1F85" w:rsidR="00BA0696" w:rsidRDefault="00992EAE">
    <w:pPr>
      <w:pStyle w:val="Footer"/>
    </w:pPr>
    <w:r>
      <w:rPr>
        <w:noProof/>
      </w:rPr>
      <mc:AlternateContent>
        <mc:Choice Requires="wps">
          <w:drawing>
            <wp:anchor distT="0" distB="0" distL="114300" distR="114300" simplePos="0" relativeHeight="251658240" behindDoc="0" locked="0" layoutInCell="1" allowOverlap="1" wp14:anchorId="789FF7FD" wp14:editId="03BFF177">
              <wp:simplePos x="0" y="0"/>
              <wp:positionH relativeFrom="column">
                <wp:posOffset>-86995</wp:posOffset>
              </wp:positionH>
              <wp:positionV relativeFrom="paragraph">
                <wp:posOffset>-360045</wp:posOffset>
              </wp:positionV>
              <wp:extent cx="4387215" cy="556260"/>
              <wp:effectExtent l="0" t="0" r="0" b="0"/>
              <wp:wrapNone/>
              <wp:docPr id="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215" cy="556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DE29864" w14:textId="77777777" w:rsidR="0084048C" w:rsidRPr="00947E11" w:rsidRDefault="00992EAE" w:rsidP="0084048C">
                          <w:pPr>
                            <w:pStyle w:val="Disclaimer"/>
                            <w:rPr>
                              <w:szCs w:val="16"/>
                            </w:rPr>
                          </w:pPr>
                          <w:r w:rsidRPr="00947E11">
                            <w:rPr>
                              <w:szCs w:val="16"/>
                            </w:rPr>
                            <w:t xml:space="preserve">This </w:t>
                          </w:r>
                          <w:r w:rsidR="00E00FF6">
                            <w:rPr>
                              <w:szCs w:val="16"/>
                            </w:rPr>
                            <w:t>Compliance</w:t>
                          </w:r>
                          <w:r w:rsidRPr="00947E11">
                            <w:rPr>
                              <w:szCs w:val="16"/>
                            </w:rPr>
                            <w:t xml:space="preserve"> Overview is not intended to be exhaustive nor should any discussion or opinions be construed as legal advice. Readers should contact </w:t>
                          </w:r>
                          <w:r w:rsidR="00991B79">
                            <w:rPr>
                              <w:szCs w:val="16"/>
                            </w:rPr>
                            <w:t>legal counsel for legal advice.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9FF7FD" id="_x0000_t202" coordsize="21600,21600" o:spt="202" path="m,l,21600r21600,l21600,xe">
              <v:stroke joinstyle="miter"/>
              <v:path gradientshapeok="t" o:connecttype="rect"/>
            </v:shapetype>
            <v:shape id="Text Box 81" o:spid="_x0000_s1029" type="#_x0000_t202" style="position:absolute;margin-left:-6.85pt;margin-top:-28.35pt;width:345.45pt;height:4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" filled="f" stroked="f" strokeweight=".5pt">
              <v:textbox>
                <w:txbxContent>
                  <w:p w14:paraId="2DE29864" w14:textId="77777777" w:rsidR="0084048C" w:rsidRPr="00947E11" w:rsidRDefault="00992EAE" w:rsidP="0084048C">
                    <w:pPr>
                      <w:pStyle w:val="Disclaimer"/>
                      <w:rPr>
                        <w:szCs w:val="16"/>
                      </w:rPr>
                    </w:pPr>
                    <w:r w:rsidRPr="00947E11">
                      <w:rPr>
                        <w:szCs w:val="16"/>
                      </w:rPr>
                      <w:t xml:space="preserve">This </w:t>
                    </w:r>
                    <w:r w:rsidR="00E00FF6">
                      <w:rPr>
                        <w:szCs w:val="16"/>
                      </w:rPr>
                      <w:t>Compliance</w:t>
                    </w:r>
                    <w:r w:rsidRPr="00947E11">
                      <w:rPr>
                        <w:szCs w:val="16"/>
                      </w:rPr>
                      <w:t xml:space="preserve"> Overview is not intended to be exhaustive nor should any discussion or opinions be construed as legal advice. Readers should contact </w:t>
                    </w:r>
                    <w:r w:rsidR="00991B79">
                      <w:rPr>
                        <w:szCs w:val="16"/>
                      </w:rPr>
                      <w:t>legal counsel for legal advice.</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552E0" w14:textId="77777777" w:rsidR="007B4E79" w:rsidRPr="00F72D06" w:rsidRDefault="00992EAE" w:rsidP="005714F1">
    <w:pPr>
      <w:pStyle w:val="Footer"/>
      <w:spacing w:before="40"/>
      <w:jc w:val="right"/>
    </w:pPr>
    <w:r w:rsidRPr="00F72D06">
      <w:fldChar w:fldCharType="begin"/>
    </w:r>
    <w:r w:rsidRPr="00F72D06">
      <w:instrText xml:space="preserve"> PAGE   \* MERGEFORMAT </w:instrText>
    </w:r>
    <w:r w:rsidRPr="00F72D06">
      <w:fldChar w:fldCharType="separate"/>
    </w:r>
    <w:r w:rsidR="002030C9">
      <w:rPr>
        <w:noProof/>
      </w:rPr>
      <w:t>2</w:t>
    </w:r>
    <w:r w:rsidRPr="00F72D06">
      <w:rPr>
        <w:noProof/>
      </w:rPr>
      <w:fldChar w:fldCharType="end"/>
    </w:r>
  </w:p>
  <w:p w14:paraId="53E91046" w14:textId="77777777" w:rsidR="007B4E79" w:rsidRPr="00817EEE" w:rsidRDefault="00992EAE" w:rsidP="00F06BC9">
    <w:pPr>
      <w:pStyle w:val="Disclaimer"/>
    </w:pPr>
    <w:r>
      <w:t>This Compliance</w:t>
    </w:r>
    <w:r w:rsidRPr="00817EEE">
      <w:t xml:space="preserve"> Overview is not intended to be exhaustive nor </w:t>
    </w:r>
    <w:r w:rsidRPr="00F06BC9">
      <w:t>should</w:t>
    </w:r>
    <w:r w:rsidRPr="00817EEE">
      <w:t xml:space="preserve"> any discussion or opinions be construed as legal advice.</w:t>
    </w:r>
    <w:r w:rsidR="00DD1FDA" w:rsidRPr="00817EEE">
      <w:t xml:space="preserve"> </w:t>
    </w:r>
    <w:r w:rsidRPr="00817EEE">
      <w:t>Readers should contact legal counsel for legal advice.</w:t>
    </w:r>
  </w:p>
  <w:p w14:paraId="2F223069" w14:textId="77777777" w:rsidR="0091138D" w:rsidRPr="00817EEE" w:rsidRDefault="00992EAE" w:rsidP="00817EEE">
    <w:pPr>
      <w:pStyle w:val="Disclaimer"/>
    </w:pPr>
    <w:r>
      <w:t xml:space="preserve">Design </w:t>
    </w:r>
    <w:r w:rsidR="003774F7" w:rsidRPr="00817EEE">
      <w:t>© 201</w:t>
    </w:r>
    <w:r>
      <w:t>9</w:t>
    </w:r>
    <w:r w:rsidR="003774F7" w:rsidRPr="00817EEE">
      <w:t> </w:t>
    </w:r>
    <w:r w:rsidR="007B4E79" w:rsidRPr="00F06BC9">
      <w:t>Zywave</w:t>
    </w:r>
    <w:r w:rsidR="007B4E79" w:rsidRPr="00817EEE">
      <w:t>, Inc.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834BE" w14:textId="77777777" w:rsidR="00000000" w:rsidRDefault="00992EAE">
      <w:pPr>
        <w:spacing w:after="0" w:line="240" w:lineRule="auto"/>
      </w:pPr>
      <w:r>
        <w:separator/>
      </w:r>
    </w:p>
  </w:footnote>
  <w:footnote w:type="continuationSeparator" w:id="0">
    <w:p w14:paraId="3130738A" w14:textId="77777777" w:rsidR="00000000" w:rsidRDefault="00992E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16450" w14:textId="43EF897E" w:rsidR="00777DD9" w:rsidRDefault="00992EAE">
    <w:pPr>
      <w:pStyle w:val="Header"/>
    </w:pPr>
    <w:r>
      <w:rPr>
        <w:noProof/>
      </w:rPr>
      <mc:AlternateContent>
        <mc:Choice Requires="wps">
          <w:drawing>
            <wp:anchor distT="0" distB="0" distL="114300" distR="114300" simplePos="0" relativeHeight="251659264" behindDoc="0" locked="0" layoutInCell="1" allowOverlap="1" wp14:anchorId="19A65163" wp14:editId="34D75548">
              <wp:simplePos x="0" y="0"/>
              <wp:positionH relativeFrom="column">
                <wp:posOffset>4386580</wp:posOffset>
              </wp:positionH>
              <wp:positionV relativeFrom="paragraph">
                <wp:posOffset>2667000</wp:posOffset>
              </wp:positionV>
              <wp:extent cx="0" cy="5715000"/>
              <wp:effectExtent l="14605" t="9525" r="13970" b="9525"/>
              <wp:wrapNone/>
              <wp:docPr id="2" name="Straight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715000"/>
                      </a:xfrm>
                      <a:prstGeom prst="line">
                        <a:avLst/>
                      </a:prstGeom>
                      <a:noFill/>
                      <a:ln w="19050" cap="rnd">
                        <a:solidFill>
                          <a:srgbClr val="4884A2"/>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ACDC8F9" id="Straight Connector 120"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4pt,210pt" to="345.4pt,6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" strokecolor="#4884a2" strokeweight="1.5pt">
              <v:stroke dashstyle="1 1" joinstyle="miter" endcap="round"/>
            </v:line>
          </w:pict>
        </mc:Fallback>
      </mc:AlternateContent>
    </w:r>
    <w:r>
      <w:rPr>
        <w:noProof/>
      </w:rPr>
      <w:drawing>
        <wp:anchor distT="0" distB="0" distL="114300" distR="114300" simplePos="0" relativeHeight="251660288" behindDoc="1" locked="0" layoutInCell="1" allowOverlap="1" wp14:anchorId="1C8D104B" wp14:editId="04A85992">
          <wp:simplePos x="0" y="0"/>
          <wp:positionH relativeFrom="margin">
            <wp:posOffset>-457200</wp:posOffset>
          </wp:positionH>
          <wp:positionV relativeFrom="margin">
            <wp:posOffset>-2792095</wp:posOffset>
          </wp:positionV>
          <wp:extent cx="7772400" cy="2886075"/>
          <wp:effectExtent l="0" t="0" r="0" b="0"/>
          <wp:wrapNone/>
          <wp:docPr id="1026" name="Picture 17" descr="ACA Overview_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CA Overview_B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28860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D0D51" w14:textId="6DD2C2CC" w:rsidR="00D16053" w:rsidRDefault="00992EAE">
    <w:pPr>
      <w:pStyle w:val="Header"/>
      <w:rPr>
        <w:noProof/>
      </w:rPr>
    </w:pPr>
    <w:r>
      <w:rPr>
        <w:noProof/>
      </w:rPr>
      <w:drawing>
        <wp:anchor distT="0" distB="0" distL="114300" distR="114300" simplePos="0" relativeHeight="251661312" behindDoc="1" locked="0" layoutInCell="1" allowOverlap="1" wp14:anchorId="4BB8201D" wp14:editId="5079DAFC">
          <wp:simplePos x="0" y="0"/>
          <wp:positionH relativeFrom="margin">
            <wp:posOffset>-914400</wp:posOffset>
          </wp:positionH>
          <wp:positionV relativeFrom="margin">
            <wp:posOffset>-1023620</wp:posOffset>
          </wp:positionV>
          <wp:extent cx="7772400" cy="871220"/>
          <wp:effectExtent l="0" t="0" r="0" b="0"/>
          <wp:wrapNone/>
          <wp:docPr id="1028" name="Picture 4" descr="ACA Overview_B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A Overview_BE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871220"/>
                  </a:xfrm>
                  <a:prstGeom prst="rect">
                    <a:avLst/>
                  </a:prstGeom>
                  <a:noFill/>
                </pic:spPr>
              </pic:pic>
            </a:graphicData>
          </a:graphic>
          <wp14:sizeRelH relativeFrom="page">
            <wp14:pctWidth>0</wp14:pctWidth>
          </wp14:sizeRelH>
          <wp14:sizeRelV relativeFrom="page">
            <wp14:pctHeight>0</wp14:pctHeight>
          </wp14:sizeRelV>
        </wp:anchor>
      </w:drawing>
    </w:r>
  </w:p>
  <w:p w14:paraId="4C44CFE4" w14:textId="77777777" w:rsidR="00D16053" w:rsidRDefault="00D160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F6488"/>
    <w:multiLevelType w:val="hybridMultilevel"/>
    <w:tmpl w:val="4A98104E"/>
    <w:lvl w:ilvl="0" w:tplc="D51C0D40">
      <w:start w:val="1"/>
      <w:numFmt w:val="bullet"/>
      <w:pStyle w:val="T-BulletList"/>
      <w:lvlText w:val=""/>
      <w:lvlJc w:val="left"/>
      <w:pPr>
        <w:ind w:left="288" w:hanging="216"/>
      </w:pPr>
      <w:rPr>
        <w:rFonts w:ascii="Symbol" w:hAnsi="Symbol" w:hint="default"/>
        <w:sz w:val="20"/>
        <w:szCs w:val="20"/>
      </w:rPr>
    </w:lvl>
    <w:lvl w:ilvl="1" w:tplc="BFE0A20A">
      <w:start w:val="1"/>
      <w:numFmt w:val="bullet"/>
      <w:lvlText w:val="o"/>
      <w:lvlJc w:val="left"/>
      <w:pPr>
        <w:ind w:left="576" w:hanging="216"/>
      </w:pPr>
      <w:rPr>
        <w:rFonts w:ascii="Courier New" w:hAnsi="Courier New" w:hint="default"/>
      </w:rPr>
    </w:lvl>
    <w:lvl w:ilvl="2" w:tplc="C31A74F4">
      <w:start w:val="1"/>
      <w:numFmt w:val="bullet"/>
      <w:lvlText w:val=""/>
      <w:lvlJc w:val="left"/>
      <w:pPr>
        <w:ind w:left="1008" w:hanging="288"/>
      </w:pPr>
      <w:rPr>
        <w:rFonts w:ascii="Wingdings" w:hAnsi="Wingdings" w:hint="default"/>
      </w:rPr>
    </w:lvl>
    <w:lvl w:ilvl="3" w:tplc="4B684462" w:tentative="1">
      <w:start w:val="1"/>
      <w:numFmt w:val="bullet"/>
      <w:lvlText w:val=""/>
      <w:lvlJc w:val="left"/>
      <w:pPr>
        <w:ind w:left="2880" w:hanging="360"/>
      </w:pPr>
      <w:rPr>
        <w:rFonts w:ascii="Symbol" w:hAnsi="Symbol" w:hint="default"/>
      </w:rPr>
    </w:lvl>
    <w:lvl w:ilvl="4" w:tplc="B2F61168" w:tentative="1">
      <w:start w:val="1"/>
      <w:numFmt w:val="bullet"/>
      <w:lvlText w:val="o"/>
      <w:lvlJc w:val="left"/>
      <w:pPr>
        <w:ind w:left="3600" w:hanging="360"/>
      </w:pPr>
      <w:rPr>
        <w:rFonts w:ascii="Courier New" w:hAnsi="Courier New" w:cs="Courier New" w:hint="default"/>
      </w:rPr>
    </w:lvl>
    <w:lvl w:ilvl="5" w:tplc="FF26FE38" w:tentative="1">
      <w:start w:val="1"/>
      <w:numFmt w:val="bullet"/>
      <w:lvlText w:val=""/>
      <w:lvlJc w:val="left"/>
      <w:pPr>
        <w:ind w:left="4320" w:hanging="360"/>
      </w:pPr>
      <w:rPr>
        <w:rFonts w:ascii="Wingdings" w:hAnsi="Wingdings" w:hint="default"/>
      </w:rPr>
    </w:lvl>
    <w:lvl w:ilvl="6" w:tplc="2EBC67DC" w:tentative="1">
      <w:start w:val="1"/>
      <w:numFmt w:val="bullet"/>
      <w:lvlText w:val=""/>
      <w:lvlJc w:val="left"/>
      <w:pPr>
        <w:ind w:left="5040" w:hanging="360"/>
      </w:pPr>
      <w:rPr>
        <w:rFonts w:ascii="Symbol" w:hAnsi="Symbol" w:hint="default"/>
      </w:rPr>
    </w:lvl>
    <w:lvl w:ilvl="7" w:tplc="C916CEAE" w:tentative="1">
      <w:start w:val="1"/>
      <w:numFmt w:val="bullet"/>
      <w:lvlText w:val="o"/>
      <w:lvlJc w:val="left"/>
      <w:pPr>
        <w:ind w:left="5760" w:hanging="360"/>
      </w:pPr>
      <w:rPr>
        <w:rFonts w:ascii="Courier New" w:hAnsi="Courier New" w:cs="Courier New" w:hint="default"/>
      </w:rPr>
    </w:lvl>
    <w:lvl w:ilvl="8" w:tplc="A9B89D80" w:tentative="1">
      <w:start w:val="1"/>
      <w:numFmt w:val="bullet"/>
      <w:lvlText w:val=""/>
      <w:lvlJc w:val="left"/>
      <w:pPr>
        <w:ind w:left="6480" w:hanging="360"/>
      </w:pPr>
      <w:rPr>
        <w:rFonts w:ascii="Wingdings" w:hAnsi="Wingdings" w:hint="default"/>
      </w:rPr>
    </w:lvl>
  </w:abstractNum>
  <w:abstractNum w:abstractNumId="1" w15:restartNumberingAfterBreak="0">
    <w:nsid w:val="271166A4"/>
    <w:multiLevelType w:val="hybridMultilevel"/>
    <w:tmpl w:val="35D20024"/>
    <w:lvl w:ilvl="0" w:tplc="75F4A3E2">
      <w:start w:val="1"/>
      <w:numFmt w:val="bullet"/>
      <w:lvlText w:val=""/>
      <w:lvlJc w:val="left"/>
      <w:pPr>
        <w:ind w:left="288" w:hanging="288"/>
      </w:pPr>
      <w:rPr>
        <w:rFonts w:ascii="Symbol" w:hAnsi="Symbol" w:hint="default"/>
      </w:rPr>
    </w:lvl>
    <w:lvl w:ilvl="1" w:tplc="A10822DE">
      <w:start w:val="1"/>
      <w:numFmt w:val="bullet"/>
      <w:lvlText w:val="o"/>
      <w:lvlJc w:val="left"/>
      <w:pPr>
        <w:ind w:left="576" w:hanging="216"/>
      </w:pPr>
      <w:rPr>
        <w:rFonts w:ascii="Courier New" w:hAnsi="Courier New" w:hint="default"/>
      </w:rPr>
    </w:lvl>
    <w:lvl w:ilvl="2" w:tplc="01928F12">
      <w:start w:val="1"/>
      <w:numFmt w:val="bullet"/>
      <w:lvlText w:val=""/>
      <w:lvlJc w:val="left"/>
      <w:pPr>
        <w:ind w:left="864" w:hanging="216"/>
      </w:pPr>
      <w:rPr>
        <w:rFonts w:ascii="Wingdings" w:hAnsi="Wingdings" w:hint="default"/>
      </w:rPr>
    </w:lvl>
    <w:lvl w:ilvl="3" w:tplc="1C9CF448" w:tentative="1">
      <w:start w:val="1"/>
      <w:numFmt w:val="bullet"/>
      <w:lvlText w:val=""/>
      <w:lvlJc w:val="left"/>
      <w:pPr>
        <w:ind w:left="2880" w:hanging="360"/>
      </w:pPr>
      <w:rPr>
        <w:rFonts w:ascii="Symbol" w:hAnsi="Symbol" w:hint="default"/>
      </w:rPr>
    </w:lvl>
    <w:lvl w:ilvl="4" w:tplc="2DB84952" w:tentative="1">
      <w:start w:val="1"/>
      <w:numFmt w:val="bullet"/>
      <w:lvlText w:val="o"/>
      <w:lvlJc w:val="left"/>
      <w:pPr>
        <w:ind w:left="3600" w:hanging="360"/>
      </w:pPr>
      <w:rPr>
        <w:rFonts w:ascii="Courier New" w:hAnsi="Courier New" w:cs="Courier New" w:hint="default"/>
      </w:rPr>
    </w:lvl>
    <w:lvl w:ilvl="5" w:tplc="3222B806" w:tentative="1">
      <w:start w:val="1"/>
      <w:numFmt w:val="bullet"/>
      <w:lvlText w:val=""/>
      <w:lvlJc w:val="left"/>
      <w:pPr>
        <w:ind w:left="4320" w:hanging="360"/>
      </w:pPr>
      <w:rPr>
        <w:rFonts w:ascii="Wingdings" w:hAnsi="Wingdings" w:hint="default"/>
      </w:rPr>
    </w:lvl>
    <w:lvl w:ilvl="6" w:tplc="331ADE0E" w:tentative="1">
      <w:start w:val="1"/>
      <w:numFmt w:val="bullet"/>
      <w:lvlText w:val=""/>
      <w:lvlJc w:val="left"/>
      <w:pPr>
        <w:ind w:left="5040" w:hanging="360"/>
      </w:pPr>
      <w:rPr>
        <w:rFonts w:ascii="Symbol" w:hAnsi="Symbol" w:hint="default"/>
      </w:rPr>
    </w:lvl>
    <w:lvl w:ilvl="7" w:tplc="4F025746" w:tentative="1">
      <w:start w:val="1"/>
      <w:numFmt w:val="bullet"/>
      <w:lvlText w:val="o"/>
      <w:lvlJc w:val="left"/>
      <w:pPr>
        <w:ind w:left="5760" w:hanging="360"/>
      </w:pPr>
      <w:rPr>
        <w:rFonts w:ascii="Courier New" w:hAnsi="Courier New" w:cs="Courier New" w:hint="default"/>
      </w:rPr>
    </w:lvl>
    <w:lvl w:ilvl="8" w:tplc="72606848" w:tentative="1">
      <w:start w:val="1"/>
      <w:numFmt w:val="bullet"/>
      <w:lvlText w:val=""/>
      <w:lvlJc w:val="left"/>
      <w:pPr>
        <w:ind w:left="6480" w:hanging="360"/>
      </w:pPr>
      <w:rPr>
        <w:rFonts w:ascii="Wingdings" w:hAnsi="Wingdings" w:hint="default"/>
      </w:rPr>
    </w:lvl>
  </w:abstractNum>
  <w:abstractNum w:abstractNumId="2" w15:restartNumberingAfterBreak="0">
    <w:nsid w:val="29BD69DF"/>
    <w:multiLevelType w:val="hybridMultilevel"/>
    <w:tmpl w:val="EC1CA9F6"/>
    <w:lvl w:ilvl="0" w:tplc="7A2EAE58">
      <w:start w:val="1"/>
      <w:numFmt w:val="decimal"/>
      <w:lvlText w:val="%1."/>
      <w:lvlJc w:val="left"/>
      <w:pPr>
        <w:ind w:left="720" w:hanging="360"/>
      </w:pPr>
      <w:rPr>
        <w:rFonts w:hint="default"/>
      </w:rPr>
    </w:lvl>
    <w:lvl w:ilvl="1" w:tplc="E7D4505C" w:tentative="1">
      <w:start w:val="1"/>
      <w:numFmt w:val="lowerLetter"/>
      <w:lvlText w:val="%2."/>
      <w:lvlJc w:val="left"/>
      <w:pPr>
        <w:ind w:left="1440" w:hanging="360"/>
      </w:pPr>
    </w:lvl>
    <w:lvl w:ilvl="2" w:tplc="35987D4E" w:tentative="1">
      <w:start w:val="1"/>
      <w:numFmt w:val="lowerRoman"/>
      <w:lvlText w:val="%3."/>
      <w:lvlJc w:val="right"/>
      <w:pPr>
        <w:ind w:left="2160" w:hanging="180"/>
      </w:pPr>
    </w:lvl>
    <w:lvl w:ilvl="3" w:tplc="BC6E3C56" w:tentative="1">
      <w:start w:val="1"/>
      <w:numFmt w:val="decimal"/>
      <w:lvlText w:val="%4."/>
      <w:lvlJc w:val="left"/>
      <w:pPr>
        <w:ind w:left="2880" w:hanging="360"/>
      </w:pPr>
    </w:lvl>
    <w:lvl w:ilvl="4" w:tplc="13786898" w:tentative="1">
      <w:start w:val="1"/>
      <w:numFmt w:val="lowerLetter"/>
      <w:lvlText w:val="%5."/>
      <w:lvlJc w:val="left"/>
      <w:pPr>
        <w:ind w:left="3600" w:hanging="360"/>
      </w:pPr>
    </w:lvl>
    <w:lvl w:ilvl="5" w:tplc="150A6558" w:tentative="1">
      <w:start w:val="1"/>
      <w:numFmt w:val="lowerRoman"/>
      <w:lvlText w:val="%6."/>
      <w:lvlJc w:val="right"/>
      <w:pPr>
        <w:ind w:left="4320" w:hanging="180"/>
      </w:pPr>
    </w:lvl>
    <w:lvl w:ilvl="6" w:tplc="3BBC2216" w:tentative="1">
      <w:start w:val="1"/>
      <w:numFmt w:val="decimal"/>
      <w:lvlText w:val="%7."/>
      <w:lvlJc w:val="left"/>
      <w:pPr>
        <w:ind w:left="5040" w:hanging="360"/>
      </w:pPr>
    </w:lvl>
    <w:lvl w:ilvl="7" w:tplc="11EC0982" w:tentative="1">
      <w:start w:val="1"/>
      <w:numFmt w:val="lowerLetter"/>
      <w:lvlText w:val="%8."/>
      <w:lvlJc w:val="left"/>
      <w:pPr>
        <w:ind w:left="5760" w:hanging="360"/>
      </w:pPr>
    </w:lvl>
    <w:lvl w:ilvl="8" w:tplc="25EAEE7C" w:tentative="1">
      <w:start w:val="1"/>
      <w:numFmt w:val="lowerRoman"/>
      <w:lvlText w:val="%9."/>
      <w:lvlJc w:val="right"/>
      <w:pPr>
        <w:ind w:left="6480" w:hanging="180"/>
      </w:pPr>
    </w:lvl>
  </w:abstractNum>
  <w:abstractNum w:abstractNumId="3" w15:restartNumberingAfterBreak="0">
    <w:nsid w:val="2AE5615E"/>
    <w:multiLevelType w:val="hybridMultilevel"/>
    <w:tmpl w:val="9E36E3C2"/>
    <w:lvl w:ilvl="0" w:tplc="57409B84">
      <w:start w:val="1"/>
      <w:numFmt w:val="bullet"/>
      <w:pStyle w:val="H-Bulletlist"/>
      <w:lvlText w:val=""/>
      <w:lvlJc w:val="left"/>
      <w:pPr>
        <w:ind w:left="720" w:hanging="360"/>
      </w:pPr>
      <w:rPr>
        <w:rFonts w:ascii="Symbol" w:hAnsi="Symbol" w:hint="default"/>
      </w:rPr>
    </w:lvl>
    <w:lvl w:ilvl="1" w:tplc="904E8780" w:tentative="1">
      <w:start w:val="1"/>
      <w:numFmt w:val="bullet"/>
      <w:lvlText w:val="o"/>
      <w:lvlJc w:val="left"/>
      <w:pPr>
        <w:ind w:left="1440" w:hanging="360"/>
      </w:pPr>
      <w:rPr>
        <w:rFonts w:ascii="Courier New" w:hAnsi="Courier New" w:cs="Courier New" w:hint="default"/>
      </w:rPr>
    </w:lvl>
    <w:lvl w:ilvl="2" w:tplc="9988789E" w:tentative="1">
      <w:start w:val="1"/>
      <w:numFmt w:val="bullet"/>
      <w:lvlText w:val=""/>
      <w:lvlJc w:val="left"/>
      <w:pPr>
        <w:ind w:left="2160" w:hanging="360"/>
      </w:pPr>
      <w:rPr>
        <w:rFonts w:ascii="Wingdings" w:hAnsi="Wingdings" w:hint="default"/>
      </w:rPr>
    </w:lvl>
    <w:lvl w:ilvl="3" w:tplc="E3BC55CC" w:tentative="1">
      <w:start w:val="1"/>
      <w:numFmt w:val="bullet"/>
      <w:lvlText w:val=""/>
      <w:lvlJc w:val="left"/>
      <w:pPr>
        <w:ind w:left="2880" w:hanging="360"/>
      </w:pPr>
      <w:rPr>
        <w:rFonts w:ascii="Symbol" w:hAnsi="Symbol" w:hint="default"/>
      </w:rPr>
    </w:lvl>
    <w:lvl w:ilvl="4" w:tplc="0608AA50" w:tentative="1">
      <w:start w:val="1"/>
      <w:numFmt w:val="bullet"/>
      <w:lvlText w:val="o"/>
      <w:lvlJc w:val="left"/>
      <w:pPr>
        <w:ind w:left="3600" w:hanging="360"/>
      </w:pPr>
      <w:rPr>
        <w:rFonts w:ascii="Courier New" w:hAnsi="Courier New" w:cs="Courier New" w:hint="default"/>
      </w:rPr>
    </w:lvl>
    <w:lvl w:ilvl="5" w:tplc="38883F22" w:tentative="1">
      <w:start w:val="1"/>
      <w:numFmt w:val="bullet"/>
      <w:lvlText w:val=""/>
      <w:lvlJc w:val="left"/>
      <w:pPr>
        <w:ind w:left="4320" w:hanging="360"/>
      </w:pPr>
      <w:rPr>
        <w:rFonts w:ascii="Wingdings" w:hAnsi="Wingdings" w:hint="default"/>
      </w:rPr>
    </w:lvl>
    <w:lvl w:ilvl="6" w:tplc="639EF86C" w:tentative="1">
      <w:start w:val="1"/>
      <w:numFmt w:val="bullet"/>
      <w:lvlText w:val=""/>
      <w:lvlJc w:val="left"/>
      <w:pPr>
        <w:ind w:left="5040" w:hanging="360"/>
      </w:pPr>
      <w:rPr>
        <w:rFonts w:ascii="Symbol" w:hAnsi="Symbol" w:hint="default"/>
      </w:rPr>
    </w:lvl>
    <w:lvl w:ilvl="7" w:tplc="D94CBA0C" w:tentative="1">
      <w:start w:val="1"/>
      <w:numFmt w:val="bullet"/>
      <w:lvlText w:val="o"/>
      <w:lvlJc w:val="left"/>
      <w:pPr>
        <w:ind w:left="5760" w:hanging="360"/>
      </w:pPr>
      <w:rPr>
        <w:rFonts w:ascii="Courier New" w:hAnsi="Courier New" w:cs="Courier New" w:hint="default"/>
      </w:rPr>
    </w:lvl>
    <w:lvl w:ilvl="8" w:tplc="D5E2B7D4" w:tentative="1">
      <w:start w:val="1"/>
      <w:numFmt w:val="bullet"/>
      <w:lvlText w:val=""/>
      <w:lvlJc w:val="left"/>
      <w:pPr>
        <w:ind w:left="6480" w:hanging="360"/>
      </w:pPr>
      <w:rPr>
        <w:rFonts w:ascii="Wingdings" w:hAnsi="Wingdings" w:hint="default"/>
      </w:rPr>
    </w:lvl>
  </w:abstractNum>
  <w:abstractNum w:abstractNumId="4" w15:restartNumberingAfterBreak="0">
    <w:nsid w:val="370A2C70"/>
    <w:multiLevelType w:val="hybridMultilevel"/>
    <w:tmpl w:val="CB1A4564"/>
    <w:lvl w:ilvl="0" w:tplc="63226B66">
      <w:start w:val="1"/>
      <w:numFmt w:val="bullet"/>
      <w:pStyle w:val="BulletList"/>
      <w:lvlText w:val=""/>
      <w:lvlJc w:val="left"/>
      <w:pPr>
        <w:ind w:left="576" w:hanging="216"/>
      </w:pPr>
      <w:rPr>
        <w:rFonts w:ascii="Symbol" w:hAnsi="Symbol" w:hint="default"/>
      </w:rPr>
    </w:lvl>
    <w:lvl w:ilvl="1" w:tplc="98F09F4E">
      <w:start w:val="1"/>
      <w:numFmt w:val="bullet"/>
      <w:lvlText w:val="o"/>
      <w:lvlJc w:val="left"/>
      <w:pPr>
        <w:ind w:left="936" w:hanging="216"/>
      </w:pPr>
      <w:rPr>
        <w:rFonts w:ascii="Courier New" w:hAnsi="Courier New" w:hint="default"/>
      </w:rPr>
    </w:lvl>
    <w:lvl w:ilvl="2" w:tplc="DCC06200">
      <w:start w:val="1"/>
      <w:numFmt w:val="bullet"/>
      <w:lvlText w:val=""/>
      <w:lvlJc w:val="left"/>
      <w:pPr>
        <w:ind w:left="1296" w:hanging="216"/>
      </w:pPr>
      <w:rPr>
        <w:rFonts w:ascii="Wingdings" w:hAnsi="Wingdings" w:hint="default"/>
      </w:rPr>
    </w:lvl>
    <w:lvl w:ilvl="3" w:tplc="1EF2AEE0" w:tentative="1">
      <w:start w:val="1"/>
      <w:numFmt w:val="bullet"/>
      <w:lvlText w:val=""/>
      <w:lvlJc w:val="left"/>
      <w:pPr>
        <w:ind w:left="2880" w:hanging="360"/>
      </w:pPr>
      <w:rPr>
        <w:rFonts w:ascii="Symbol" w:hAnsi="Symbol" w:hint="default"/>
      </w:rPr>
    </w:lvl>
    <w:lvl w:ilvl="4" w:tplc="51689156" w:tentative="1">
      <w:start w:val="1"/>
      <w:numFmt w:val="bullet"/>
      <w:lvlText w:val="o"/>
      <w:lvlJc w:val="left"/>
      <w:pPr>
        <w:ind w:left="3600" w:hanging="360"/>
      </w:pPr>
      <w:rPr>
        <w:rFonts w:ascii="Courier New" w:hAnsi="Courier New" w:cs="Courier New" w:hint="default"/>
      </w:rPr>
    </w:lvl>
    <w:lvl w:ilvl="5" w:tplc="137841A6" w:tentative="1">
      <w:start w:val="1"/>
      <w:numFmt w:val="bullet"/>
      <w:lvlText w:val=""/>
      <w:lvlJc w:val="left"/>
      <w:pPr>
        <w:ind w:left="4320" w:hanging="360"/>
      </w:pPr>
      <w:rPr>
        <w:rFonts w:ascii="Wingdings" w:hAnsi="Wingdings" w:hint="default"/>
      </w:rPr>
    </w:lvl>
    <w:lvl w:ilvl="6" w:tplc="0CD8F50C" w:tentative="1">
      <w:start w:val="1"/>
      <w:numFmt w:val="bullet"/>
      <w:lvlText w:val=""/>
      <w:lvlJc w:val="left"/>
      <w:pPr>
        <w:ind w:left="5040" w:hanging="360"/>
      </w:pPr>
      <w:rPr>
        <w:rFonts w:ascii="Symbol" w:hAnsi="Symbol" w:hint="default"/>
      </w:rPr>
    </w:lvl>
    <w:lvl w:ilvl="7" w:tplc="7BBA010E" w:tentative="1">
      <w:start w:val="1"/>
      <w:numFmt w:val="bullet"/>
      <w:lvlText w:val="o"/>
      <w:lvlJc w:val="left"/>
      <w:pPr>
        <w:ind w:left="5760" w:hanging="360"/>
      </w:pPr>
      <w:rPr>
        <w:rFonts w:ascii="Courier New" w:hAnsi="Courier New" w:cs="Courier New" w:hint="default"/>
      </w:rPr>
    </w:lvl>
    <w:lvl w:ilvl="8" w:tplc="C1E29D22" w:tentative="1">
      <w:start w:val="1"/>
      <w:numFmt w:val="bullet"/>
      <w:lvlText w:val=""/>
      <w:lvlJc w:val="left"/>
      <w:pPr>
        <w:ind w:left="6480" w:hanging="360"/>
      </w:pPr>
      <w:rPr>
        <w:rFonts w:ascii="Wingdings" w:hAnsi="Wingdings" w:hint="default"/>
      </w:rPr>
    </w:lvl>
  </w:abstractNum>
  <w:abstractNum w:abstractNumId="5" w15:restartNumberingAfterBreak="0">
    <w:nsid w:val="5E594639"/>
    <w:multiLevelType w:val="hybridMultilevel"/>
    <w:tmpl w:val="6BAACBD6"/>
    <w:lvl w:ilvl="0" w:tplc="3718FB78">
      <w:start w:val="1"/>
      <w:numFmt w:val="decimal"/>
      <w:lvlText w:val="%1."/>
      <w:lvlJc w:val="left"/>
      <w:pPr>
        <w:ind w:left="720" w:hanging="360"/>
      </w:pPr>
      <w:rPr>
        <w:rFonts w:hint="default"/>
      </w:rPr>
    </w:lvl>
    <w:lvl w:ilvl="1" w:tplc="C9D6CD22" w:tentative="1">
      <w:start w:val="1"/>
      <w:numFmt w:val="bullet"/>
      <w:lvlText w:val="o"/>
      <w:lvlJc w:val="left"/>
      <w:pPr>
        <w:ind w:left="1440" w:hanging="360"/>
      </w:pPr>
      <w:rPr>
        <w:rFonts w:ascii="Courier New" w:hAnsi="Courier New" w:cs="Courier New" w:hint="default"/>
      </w:rPr>
    </w:lvl>
    <w:lvl w:ilvl="2" w:tplc="3CFE6A90" w:tentative="1">
      <w:start w:val="1"/>
      <w:numFmt w:val="bullet"/>
      <w:lvlText w:val=""/>
      <w:lvlJc w:val="left"/>
      <w:pPr>
        <w:ind w:left="2160" w:hanging="360"/>
      </w:pPr>
      <w:rPr>
        <w:rFonts w:ascii="Wingdings" w:hAnsi="Wingdings" w:hint="default"/>
      </w:rPr>
    </w:lvl>
    <w:lvl w:ilvl="3" w:tplc="B8263ECE" w:tentative="1">
      <w:start w:val="1"/>
      <w:numFmt w:val="bullet"/>
      <w:lvlText w:val=""/>
      <w:lvlJc w:val="left"/>
      <w:pPr>
        <w:ind w:left="2880" w:hanging="360"/>
      </w:pPr>
      <w:rPr>
        <w:rFonts w:ascii="Symbol" w:hAnsi="Symbol" w:hint="default"/>
      </w:rPr>
    </w:lvl>
    <w:lvl w:ilvl="4" w:tplc="BA386B22" w:tentative="1">
      <w:start w:val="1"/>
      <w:numFmt w:val="bullet"/>
      <w:lvlText w:val="o"/>
      <w:lvlJc w:val="left"/>
      <w:pPr>
        <w:ind w:left="3600" w:hanging="360"/>
      </w:pPr>
      <w:rPr>
        <w:rFonts w:ascii="Courier New" w:hAnsi="Courier New" w:cs="Courier New" w:hint="default"/>
      </w:rPr>
    </w:lvl>
    <w:lvl w:ilvl="5" w:tplc="88EC557E" w:tentative="1">
      <w:start w:val="1"/>
      <w:numFmt w:val="bullet"/>
      <w:lvlText w:val=""/>
      <w:lvlJc w:val="left"/>
      <w:pPr>
        <w:ind w:left="4320" w:hanging="360"/>
      </w:pPr>
      <w:rPr>
        <w:rFonts w:ascii="Wingdings" w:hAnsi="Wingdings" w:hint="default"/>
      </w:rPr>
    </w:lvl>
    <w:lvl w:ilvl="6" w:tplc="5A223286" w:tentative="1">
      <w:start w:val="1"/>
      <w:numFmt w:val="bullet"/>
      <w:lvlText w:val=""/>
      <w:lvlJc w:val="left"/>
      <w:pPr>
        <w:ind w:left="5040" w:hanging="360"/>
      </w:pPr>
      <w:rPr>
        <w:rFonts w:ascii="Symbol" w:hAnsi="Symbol" w:hint="default"/>
      </w:rPr>
    </w:lvl>
    <w:lvl w:ilvl="7" w:tplc="BD54EE94" w:tentative="1">
      <w:start w:val="1"/>
      <w:numFmt w:val="bullet"/>
      <w:lvlText w:val="o"/>
      <w:lvlJc w:val="left"/>
      <w:pPr>
        <w:ind w:left="5760" w:hanging="360"/>
      </w:pPr>
      <w:rPr>
        <w:rFonts w:ascii="Courier New" w:hAnsi="Courier New" w:cs="Courier New" w:hint="default"/>
      </w:rPr>
    </w:lvl>
    <w:lvl w:ilvl="8" w:tplc="47200B98" w:tentative="1">
      <w:start w:val="1"/>
      <w:numFmt w:val="bullet"/>
      <w:lvlText w:val=""/>
      <w:lvlJc w:val="left"/>
      <w:pPr>
        <w:ind w:left="6480" w:hanging="360"/>
      </w:pPr>
      <w:rPr>
        <w:rFonts w:ascii="Wingdings" w:hAnsi="Wingdings" w:hint="default"/>
      </w:rPr>
    </w:lvl>
  </w:abstractNum>
  <w:abstractNum w:abstractNumId="6" w15:restartNumberingAfterBreak="0">
    <w:nsid w:val="63416E5E"/>
    <w:multiLevelType w:val="multilevel"/>
    <w:tmpl w:val="99829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B7B299F"/>
    <w:multiLevelType w:val="hybridMultilevel"/>
    <w:tmpl w:val="D1E85CA4"/>
    <w:lvl w:ilvl="0" w:tplc="FEACAE66">
      <w:start w:val="1"/>
      <w:numFmt w:val="bullet"/>
      <w:lvlText w:val=""/>
      <w:lvlJc w:val="left"/>
      <w:pPr>
        <w:ind w:left="720" w:hanging="360"/>
      </w:pPr>
      <w:rPr>
        <w:rFonts w:ascii="Symbol" w:hAnsi="Symbol" w:hint="default"/>
      </w:rPr>
    </w:lvl>
    <w:lvl w:ilvl="1" w:tplc="28384BD2" w:tentative="1">
      <w:start w:val="1"/>
      <w:numFmt w:val="bullet"/>
      <w:lvlText w:val="o"/>
      <w:lvlJc w:val="left"/>
      <w:pPr>
        <w:ind w:left="1440" w:hanging="360"/>
      </w:pPr>
      <w:rPr>
        <w:rFonts w:ascii="Courier New" w:hAnsi="Courier New" w:cs="Courier New" w:hint="default"/>
      </w:rPr>
    </w:lvl>
    <w:lvl w:ilvl="2" w:tplc="380A2F4A" w:tentative="1">
      <w:start w:val="1"/>
      <w:numFmt w:val="bullet"/>
      <w:lvlText w:val=""/>
      <w:lvlJc w:val="left"/>
      <w:pPr>
        <w:ind w:left="2160" w:hanging="360"/>
      </w:pPr>
      <w:rPr>
        <w:rFonts w:ascii="Wingdings" w:hAnsi="Wingdings" w:hint="default"/>
      </w:rPr>
    </w:lvl>
    <w:lvl w:ilvl="3" w:tplc="8440FC94" w:tentative="1">
      <w:start w:val="1"/>
      <w:numFmt w:val="bullet"/>
      <w:lvlText w:val=""/>
      <w:lvlJc w:val="left"/>
      <w:pPr>
        <w:ind w:left="2880" w:hanging="360"/>
      </w:pPr>
      <w:rPr>
        <w:rFonts w:ascii="Symbol" w:hAnsi="Symbol" w:hint="default"/>
      </w:rPr>
    </w:lvl>
    <w:lvl w:ilvl="4" w:tplc="5FE2F310" w:tentative="1">
      <w:start w:val="1"/>
      <w:numFmt w:val="bullet"/>
      <w:lvlText w:val="o"/>
      <w:lvlJc w:val="left"/>
      <w:pPr>
        <w:ind w:left="3600" w:hanging="360"/>
      </w:pPr>
      <w:rPr>
        <w:rFonts w:ascii="Courier New" w:hAnsi="Courier New" w:cs="Courier New" w:hint="default"/>
      </w:rPr>
    </w:lvl>
    <w:lvl w:ilvl="5" w:tplc="40F43FDA" w:tentative="1">
      <w:start w:val="1"/>
      <w:numFmt w:val="bullet"/>
      <w:lvlText w:val=""/>
      <w:lvlJc w:val="left"/>
      <w:pPr>
        <w:ind w:left="4320" w:hanging="360"/>
      </w:pPr>
      <w:rPr>
        <w:rFonts w:ascii="Wingdings" w:hAnsi="Wingdings" w:hint="default"/>
      </w:rPr>
    </w:lvl>
    <w:lvl w:ilvl="6" w:tplc="F6025180" w:tentative="1">
      <w:start w:val="1"/>
      <w:numFmt w:val="bullet"/>
      <w:lvlText w:val=""/>
      <w:lvlJc w:val="left"/>
      <w:pPr>
        <w:ind w:left="5040" w:hanging="360"/>
      </w:pPr>
      <w:rPr>
        <w:rFonts w:ascii="Symbol" w:hAnsi="Symbol" w:hint="default"/>
      </w:rPr>
    </w:lvl>
    <w:lvl w:ilvl="7" w:tplc="2D4658F8" w:tentative="1">
      <w:start w:val="1"/>
      <w:numFmt w:val="bullet"/>
      <w:lvlText w:val="o"/>
      <w:lvlJc w:val="left"/>
      <w:pPr>
        <w:ind w:left="5760" w:hanging="360"/>
      </w:pPr>
      <w:rPr>
        <w:rFonts w:ascii="Courier New" w:hAnsi="Courier New" w:cs="Courier New" w:hint="default"/>
      </w:rPr>
    </w:lvl>
    <w:lvl w:ilvl="8" w:tplc="BD04CB86" w:tentative="1">
      <w:start w:val="1"/>
      <w:numFmt w:val="bullet"/>
      <w:lvlText w:val=""/>
      <w:lvlJc w:val="left"/>
      <w:pPr>
        <w:ind w:left="6480" w:hanging="360"/>
      </w:pPr>
      <w:rPr>
        <w:rFonts w:ascii="Wingdings" w:hAnsi="Wingdings" w:hint="default"/>
      </w:rPr>
    </w:lvl>
  </w:abstractNum>
  <w:abstractNum w:abstractNumId="8" w15:restartNumberingAfterBreak="0">
    <w:nsid w:val="6F346A19"/>
    <w:multiLevelType w:val="hybridMultilevel"/>
    <w:tmpl w:val="A2763910"/>
    <w:lvl w:ilvl="0" w:tplc="1246555E">
      <w:start w:val="1"/>
      <w:numFmt w:val="bullet"/>
      <w:pStyle w:val="H-BulletList0"/>
      <w:lvlText w:val=""/>
      <w:lvlJc w:val="left"/>
      <w:pPr>
        <w:ind w:left="288" w:hanging="216"/>
      </w:pPr>
      <w:rPr>
        <w:rFonts w:ascii="Symbol" w:hAnsi="Symbol" w:hint="default"/>
        <w:sz w:val="20"/>
        <w:szCs w:val="20"/>
      </w:rPr>
    </w:lvl>
    <w:lvl w:ilvl="1" w:tplc="52AE4D8C">
      <w:start w:val="1"/>
      <w:numFmt w:val="bullet"/>
      <w:lvlText w:val="o"/>
      <w:lvlJc w:val="left"/>
      <w:pPr>
        <w:ind w:left="504" w:hanging="144"/>
      </w:pPr>
      <w:rPr>
        <w:rFonts w:ascii="Courier New" w:hAnsi="Courier New" w:hint="default"/>
      </w:rPr>
    </w:lvl>
    <w:lvl w:ilvl="2" w:tplc="5E74ED42">
      <w:start w:val="1"/>
      <w:numFmt w:val="bullet"/>
      <w:lvlText w:val=""/>
      <w:lvlJc w:val="left"/>
      <w:pPr>
        <w:ind w:left="1008" w:hanging="288"/>
      </w:pPr>
      <w:rPr>
        <w:rFonts w:ascii="Wingdings" w:hAnsi="Wingdings" w:hint="default"/>
      </w:rPr>
    </w:lvl>
    <w:lvl w:ilvl="3" w:tplc="7D4EBB14" w:tentative="1">
      <w:start w:val="1"/>
      <w:numFmt w:val="bullet"/>
      <w:lvlText w:val=""/>
      <w:lvlJc w:val="left"/>
      <w:pPr>
        <w:ind w:left="2880" w:hanging="360"/>
      </w:pPr>
      <w:rPr>
        <w:rFonts w:ascii="Symbol" w:hAnsi="Symbol" w:hint="default"/>
      </w:rPr>
    </w:lvl>
    <w:lvl w:ilvl="4" w:tplc="A1D4C6E6" w:tentative="1">
      <w:start w:val="1"/>
      <w:numFmt w:val="bullet"/>
      <w:lvlText w:val="o"/>
      <w:lvlJc w:val="left"/>
      <w:pPr>
        <w:ind w:left="3600" w:hanging="360"/>
      </w:pPr>
      <w:rPr>
        <w:rFonts w:ascii="Courier New" w:hAnsi="Courier New" w:cs="Courier New" w:hint="default"/>
      </w:rPr>
    </w:lvl>
    <w:lvl w:ilvl="5" w:tplc="1E980830" w:tentative="1">
      <w:start w:val="1"/>
      <w:numFmt w:val="bullet"/>
      <w:lvlText w:val=""/>
      <w:lvlJc w:val="left"/>
      <w:pPr>
        <w:ind w:left="4320" w:hanging="360"/>
      </w:pPr>
      <w:rPr>
        <w:rFonts w:ascii="Wingdings" w:hAnsi="Wingdings" w:hint="default"/>
      </w:rPr>
    </w:lvl>
    <w:lvl w:ilvl="6" w:tplc="74208AD4" w:tentative="1">
      <w:start w:val="1"/>
      <w:numFmt w:val="bullet"/>
      <w:lvlText w:val=""/>
      <w:lvlJc w:val="left"/>
      <w:pPr>
        <w:ind w:left="5040" w:hanging="360"/>
      </w:pPr>
      <w:rPr>
        <w:rFonts w:ascii="Symbol" w:hAnsi="Symbol" w:hint="default"/>
      </w:rPr>
    </w:lvl>
    <w:lvl w:ilvl="7" w:tplc="4D40FA1A" w:tentative="1">
      <w:start w:val="1"/>
      <w:numFmt w:val="bullet"/>
      <w:lvlText w:val="o"/>
      <w:lvlJc w:val="left"/>
      <w:pPr>
        <w:ind w:left="5760" w:hanging="360"/>
      </w:pPr>
      <w:rPr>
        <w:rFonts w:ascii="Courier New" w:hAnsi="Courier New" w:cs="Courier New" w:hint="default"/>
      </w:rPr>
    </w:lvl>
    <w:lvl w:ilvl="8" w:tplc="5E0C7C02" w:tentative="1">
      <w:start w:val="1"/>
      <w:numFmt w:val="bullet"/>
      <w:lvlText w:val=""/>
      <w:lvlJc w:val="left"/>
      <w:pPr>
        <w:ind w:left="6480" w:hanging="360"/>
      </w:pPr>
      <w:rPr>
        <w:rFonts w:ascii="Wingdings" w:hAnsi="Wingdings" w:hint="default"/>
      </w:rPr>
    </w:lvl>
  </w:abstractNum>
  <w:abstractNum w:abstractNumId="9" w15:restartNumberingAfterBreak="0">
    <w:nsid w:val="70D86126"/>
    <w:multiLevelType w:val="hybridMultilevel"/>
    <w:tmpl w:val="792E3A1A"/>
    <w:lvl w:ilvl="0" w:tplc="2F32E1EA">
      <w:start w:val="1"/>
      <w:numFmt w:val="decimal"/>
      <w:pStyle w:val="Numbering"/>
      <w:lvlText w:val="%1."/>
      <w:lvlJc w:val="left"/>
      <w:pPr>
        <w:ind w:left="576" w:hanging="216"/>
      </w:pPr>
      <w:rPr>
        <w:rFonts w:hint="default"/>
      </w:rPr>
    </w:lvl>
    <w:lvl w:ilvl="1" w:tplc="7DE8A6BA">
      <w:start w:val="1"/>
      <w:numFmt w:val="lowerLetter"/>
      <w:lvlText w:val="%2."/>
      <w:lvlJc w:val="left"/>
      <w:pPr>
        <w:ind w:left="936" w:hanging="216"/>
      </w:pPr>
      <w:rPr>
        <w:rFonts w:hint="default"/>
      </w:rPr>
    </w:lvl>
    <w:lvl w:ilvl="2" w:tplc="C9CADF4C">
      <w:start w:val="1"/>
      <w:numFmt w:val="lowerRoman"/>
      <w:lvlText w:val="%3."/>
      <w:lvlJc w:val="right"/>
      <w:pPr>
        <w:ind w:left="1296" w:hanging="216"/>
      </w:pPr>
      <w:rPr>
        <w:rFonts w:hint="default"/>
      </w:rPr>
    </w:lvl>
    <w:lvl w:ilvl="3" w:tplc="19008F34" w:tentative="1">
      <w:start w:val="1"/>
      <w:numFmt w:val="decimal"/>
      <w:lvlText w:val="%4."/>
      <w:lvlJc w:val="left"/>
      <w:pPr>
        <w:ind w:left="2880" w:hanging="360"/>
      </w:pPr>
    </w:lvl>
    <w:lvl w:ilvl="4" w:tplc="21BED8CE" w:tentative="1">
      <w:start w:val="1"/>
      <w:numFmt w:val="lowerLetter"/>
      <w:lvlText w:val="%5."/>
      <w:lvlJc w:val="left"/>
      <w:pPr>
        <w:ind w:left="3600" w:hanging="360"/>
      </w:pPr>
    </w:lvl>
    <w:lvl w:ilvl="5" w:tplc="F0FA5B20" w:tentative="1">
      <w:start w:val="1"/>
      <w:numFmt w:val="lowerRoman"/>
      <w:lvlText w:val="%6."/>
      <w:lvlJc w:val="right"/>
      <w:pPr>
        <w:ind w:left="4320" w:hanging="180"/>
      </w:pPr>
    </w:lvl>
    <w:lvl w:ilvl="6" w:tplc="72D49920" w:tentative="1">
      <w:start w:val="1"/>
      <w:numFmt w:val="decimal"/>
      <w:lvlText w:val="%7."/>
      <w:lvlJc w:val="left"/>
      <w:pPr>
        <w:ind w:left="5040" w:hanging="360"/>
      </w:pPr>
    </w:lvl>
    <w:lvl w:ilvl="7" w:tplc="C6428BDA" w:tentative="1">
      <w:start w:val="1"/>
      <w:numFmt w:val="lowerLetter"/>
      <w:lvlText w:val="%8."/>
      <w:lvlJc w:val="left"/>
      <w:pPr>
        <w:ind w:left="5760" w:hanging="360"/>
      </w:pPr>
    </w:lvl>
    <w:lvl w:ilvl="8" w:tplc="A8A2F7D6" w:tentative="1">
      <w:start w:val="1"/>
      <w:numFmt w:val="lowerRoman"/>
      <w:lvlText w:val="%9."/>
      <w:lvlJc w:val="right"/>
      <w:pPr>
        <w:ind w:left="6480" w:hanging="180"/>
      </w:pPr>
    </w:lvl>
  </w:abstractNum>
  <w:abstractNum w:abstractNumId="10" w15:restartNumberingAfterBreak="0">
    <w:nsid w:val="730B4ECD"/>
    <w:multiLevelType w:val="hybridMultilevel"/>
    <w:tmpl w:val="6C406044"/>
    <w:lvl w:ilvl="0" w:tplc="B9380A4E">
      <w:start w:val="1"/>
      <w:numFmt w:val="bullet"/>
      <w:pStyle w:val="BulletlistHighlight"/>
      <w:lvlText w:val=""/>
      <w:lvlJc w:val="left"/>
      <w:pPr>
        <w:ind w:left="288" w:hanging="288"/>
      </w:pPr>
      <w:rPr>
        <w:rFonts w:ascii="Symbol" w:hAnsi="Symbol" w:hint="default"/>
      </w:rPr>
    </w:lvl>
    <w:lvl w:ilvl="1" w:tplc="D71CDEE4">
      <w:start w:val="1"/>
      <w:numFmt w:val="bullet"/>
      <w:lvlText w:val="o"/>
      <w:lvlJc w:val="left"/>
      <w:pPr>
        <w:ind w:left="576" w:hanging="216"/>
      </w:pPr>
      <w:rPr>
        <w:rFonts w:ascii="Courier New" w:hAnsi="Courier New" w:hint="default"/>
      </w:rPr>
    </w:lvl>
    <w:lvl w:ilvl="2" w:tplc="72A2427C">
      <w:start w:val="1"/>
      <w:numFmt w:val="bullet"/>
      <w:lvlText w:val=""/>
      <w:lvlJc w:val="left"/>
      <w:pPr>
        <w:ind w:left="864" w:hanging="216"/>
      </w:pPr>
      <w:rPr>
        <w:rFonts w:ascii="Wingdings" w:hAnsi="Wingdings" w:hint="default"/>
      </w:rPr>
    </w:lvl>
    <w:lvl w:ilvl="3" w:tplc="23B6579E" w:tentative="1">
      <w:start w:val="1"/>
      <w:numFmt w:val="bullet"/>
      <w:lvlText w:val=""/>
      <w:lvlJc w:val="left"/>
      <w:pPr>
        <w:ind w:left="2880" w:hanging="360"/>
      </w:pPr>
      <w:rPr>
        <w:rFonts w:ascii="Symbol" w:hAnsi="Symbol" w:hint="default"/>
      </w:rPr>
    </w:lvl>
    <w:lvl w:ilvl="4" w:tplc="B5DC5EAA" w:tentative="1">
      <w:start w:val="1"/>
      <w:numFmt w:val="bullet"/>
      <w:lvlText w:val="o"/>
      <w:lvlJc w:val="left"/>
      <w:pPr>
        <w:ind w:left="3600" w:hanging="360"/>
      </w:pPr>
      <w:rPr>
        <w:rFonts w:ascii="Courier New" w:hAnsi="Courier New" w:cs="Courier New" w:hint="default"/>
      </w:rPr>
    </w:lvl>
    <w:lvl w:ilvl="5" w:tplc="150AA108" w:tentative="1">
      <w:start w:val="1"/>
      <w:numFmt w:val="bullet"/>
      <w:lvlText w:val=""/>
      <w:lvlJc w:val="left"/>
      <w:pPr>
        <w:ind w:left="4320" w:hanging="360"/>
      </w:pPr>
      <w:rPr>
        <w:rFonts w:ascii="Wingdings" w:hAnsi="Wingdings" w:hint="default"/>
      </w:rPr>
    </w:lvl>
    <w:lvl w:ilvl="6" w:tplc="1B20E040" w:tentative="1">
      <w:start w:val="1"/>
      <w:numFmt w:val="bullet"/>
      <w:lvlText w:val=""/>
      <w:lvlJc w:val="left"/>
      <w:pPr>
        <w:ind w:left="5040" w:hanging="360"/>
      </w:pPr>
      <w:rPr>
        <w:rFonts w:ascii="Symbol" w:hAnsi="Symbol" w:hint="default"/>
      </w:rPr>
    </w:lvl>
    <w:lvl w:ilvl="7" w:tplc="BAFE54F2" w:tentative="1">
      <w:start w:val="1"/>
      <w:numFmt w:val="bullet"/>
      <w:lvlText w:val="o"/>
      <w:lvlJc w:val="left"/>
      <w:pPr>
        <w:ind w:left="5760" w:hanging="360"/>
      </w:pPr>
      <w:rPr>
        <w:rFonts w:ascii="Courier New" w:hAnsi="Courier New" w:cs="Courier New" w:hint="default"/>
      </w:rPr>
    </w:lvl>
    <w:lvl w:ilvl="8" w:tplc="4254F32A" w:tentative="1">
      <w:start w:val="1"/>
      <w:numFmt w:val="bullet"/>
      <w:lvlText w:val=""/>
      <w:lvlJc w:val="left"/>
      <w:pPr>
        <w:ind w:left="6480" w:hanging="360"/>
      </w:pPr>
      <w:rPr>
        <w:rFonts w:ascii="Wingdings" w:hAnsi="Wingdings" w:hint="default"/>
      </w:rPr>
    </w:lvl>
  </w:abstractNum>
  <w:abstractNum w:abstractNumId="11" w15:restartNumberingAfterBreak="0">
    <w:nsid w:val="74912014"/>
    <w:multiLevelType w:val="hybridMultilevel"/>
    <w:tmpl w:val="96747874"/>
    <w:lvl w:ilvl="0" w:tplc="BFDE5598">
      <w:start w:val="1"/>
      <w:numFmt w:val="bullet"/>
      <w:pStyle w:val="Bullets"/>
      <w:lvlText w:val=""/>
      <w:lvlJc w:val="left"/>
      <w:pPr>
        <w:ind w:left="720" w:hanging="360"/>
      </w:pPr>
      <w:rPr>
        <w:rFonts w:ascii="Symbol" w:hAnsi="Symbol" w:hint="default"/>
        <w:b/>
        <w:color w:val="595959"/>
      </w:rPr>
    </w:lvl>
    <w:lvl w:ilvl="1" w:tplc="3610698A" w:tentative="1">
      <w:start w:val="1"/>
      <w:numFmt w:val="bullet"/>
      <w:lvlText w:val="o"/>
      <w:lvlJc w:val="left"/>
      <w:pPr>
        <w:ind w:left="1440" w:hanging="360"/>
      </w:pPr>
      <w:rPr>
        <w:rFonts w:ascii="Courier New" w:hAnsi="Courier New" w:cs="Courier New" w:hint="default"/>
      </w:rPr>
    </w:lvl>
    <w:lvl w:ilvl="2" w:tplc="6A20E4D2" w:tentative="1">
      <w:start w:val="1"/>
      <w:numFmt w:val="bullet"/>
      <w:lvlText w:val=""/>
      <w:lvlJc w:val="left"/>
      <w:pPr>
        <w:ind w:left="2160" w:hanging="360"/>
      </w:pPr>
      <w:rPr>
        <w:rFonts w:ascii="Wingdings" w:hAnsi="Wingdings" w:hint="default"/>
      </w:rPr>
    </w:lvl>
    <w:lvl w:ilvl="3" w:tplc="09648368" w:tentative="1">
      <w:start w:val="1"/>
      <w:numFmt w:val="bullet"/>
      <w:lvlText w:val=""/>
      <w:lvlJc w:val="left"/>
      <w:pPr>
        <w:ind w:left="2880" w:hanging="360"/>
      </w:pPr>
      <w:rPr>
        <w:rFonts w:ascii="Symbol" w:hAnsi="Symbol" w:hint="default"/>
      </w:rPr>
    </w:lvl>
    <w:lvl w:ilvl="4" w:tplc="B114C7A2" w:tentative="1">
      <w:start w:val="1"/>
      <w:numFmt w:val="bullet"/>
      <w:lvlText w:val="o"/>
      <w:lvlJc w:val="left"/>
      <w:pPr>
        <w:ind w:left="3600" w:hanging="360"/>
      </w:pPr>
      <w:rPr>
        <w:rFonts w:ascii="Courier New" w:hAnsi="Courier New" w:cs="Courier New" w:hint="default"/>
      </w:rPr>
    </w:lvl>
    <w:lvl w:ilvl="5" w:tplc="2370E624" w:tentative="1">
      <w:start w:val="1"/>
      <w:numFmt w:val="bullet"/>
      <w:lvlText w:val=""/>
      <w:lvlJc w:val="left"/>
      <w:pPr>
        <w:ind w:left="4320" w:hanging="360"/>
      </w:pPr>
      <w:rPr>
        <w:rFonts w:ascii="Wingdings" w:hAnsi="Wingdings" w:hint="default"/>
      </w:rPr>
    </w:lvl>
    <w:lvl w:ilvl="6" w:tplc="9BDCE46E" w:tentative="1">
      <w:start w:val="1"/>
      <w:numFmt w:val="bullet"/>
      <w:lvlText w:val=""/>
      <w:lvlJc w:val="left"/>
      <w:pPr>
        <w:ind w:left="5040" w:hanging="360"/>
      </w:pPr>
      <w:rPr>
        <w:rFonts w:ascii="Symbol" w:hAnsi="Symbol" w:hint="default"/>
      </w:rPr>
    </w:lvl>
    <w:lvl w:ilvl="7" w:tplc="FB3265FA" w:tentative="1">
      <w:start w:val="1"/>
      <w:numFmt w:val="bullet"/>
      <w:lvlText w:val="o"/>
      <w:lvlJc w:val="left"/>
      <w:pPr>
        <w:ind w:left="5760" w:hanging="360"/>
      </w:pPr>
      <w:rPr>
        <w:rFonts w:ascii="Courier New" w:hAnsi="Courier New" w:cs="Courier New" w:hint="default"/>
      </w:rPr>
    </w:lvl>
    <w:lvl w:ilvl="8" w:tplc="80769B52"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8"/>
  </w:num>
  <w:num w:numId="4">
    <w:abstractNumId w:val="8"/>
    <w:lvlOverride w:ilvl="0">
      <w:startOverride w:val="1"/>
    </w:lvlOverride>
  </w:num>
  <w:num w:numId="5">
    <w:abstractNumId w:val="8"/>
    <w:lvlOverride w:ilvl="0">
      <w:startOverride w:val="1"/>
    </w:lvlOverride>
  </w:num>
  <w:num w:numId="6">
    <w:abstractNumId w:val="10"/>
    <w:lvlOverride w:ilvl="0">
      <w:startOverride w:val="1"/>
    </w:lvlOverride>
  </w:num>
  <w:num w:numId="7">
    <w:abstractNumId w:val="10"/>
    <w:lvlOverride w:ilvl="0">
      <w:startOverride w:val="1"/>
    </w:lvlOverride>
  </w:num>
  <w:num w:numId="8">
    <w:abstractNumId w:val="1"/>
  </w:num>
  <w:num w:numId="9">
    <w:abstractNumId w:val="4"/>
    <w:lvlOverride w:ilvl="0">
      <w:startOverride w:val="1"/>
    </w:lvlOverride>
  </w:num>
  <w:num w:numId="10">
    <w:abstractNumId w:val="9"/>
  </w:num>
  <w:num w:numId="11">
    <w:abstractNumId w:val="0"/>
  </w:num>
  <w:num w:numId="12">
    <w:abstractNumId w:val="3"/>
  </w:num>
  <w:num w:numId="13">
    <w:abstractNumId w:val="11"/>
  </w:num>
  <w:num w:numId="14">
    <w:abstractNumId w:val="7"/>
  </w:num>
  <w:num w:numId="15">
    <w:abstractNumId w:val="2"/>
  </w:num>
  <w:num w:numId="16">
    <w:abstractNumId w:val="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308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248"/>
    <w:rsid w:val="000106B8"/>
    <w:rsid w:val="000272AF"/>
    <w:rsid w:val="00053327"/>
    <w:rsid w:val="000B4731"/>
    <w:rsid w:val="000D733F"/>
    <w:rsid w:val="0017685B"/>
    <w:rsid w:val="00177E2A"/>
    <w:rsid w:val="00187B54"/>
    <w:rsid w:val="001968D1"/>
    <w:rsid w:val="001F76A9"/>
    <w:rsid w:val="002030C9"/>
    <w:rsid w:val="002364F9"/>
    <w:rsid w:val="00242F4B"/>
    <w:rsid w:val="00281307"/>
    <w:rsid w:val="00281D65"/>
    <w:rsid w:val="002A188C"/>
    <w:rsid w:val="00321B05"/>
    <w:rsid w:val="0033142C"/>
    <w:rsid w:val="0034322C"/>
    <w:rsid w:val="00365527"/>
    <w:rsid w:val="003774F7"/>
    <w:rsid w:val="0039504A"/>
    <w:rsid w:val="0045015D"/>
    <w:rsid w:val="00451D29"/>
    <w:rsid w:val="00460470"/>
    <w:rsid w:val="00461814"/>
    <w:rsid w:val="00462EE5"/>
    <w:rsid w:val="004830C1"/>
    <w:rsid w:val="004A352F"/>
    <w:rsid w:val="004D0A73"/>
    <w:rsid w:val="004D217B"/>
    <w:rsid w:val="004F2AE7"/>
    <w:rsid w:val="005227C2"/>
    <w:rsid w:val="0053544A"/>
    <w:rsid w:val="00544784"/>
    <w:rsid w:val="005714F1"/>
    <w:rsid w:val="005E1623"/>
    <w:rsid w:val="0063347E"/>
    <w:rsid w:val="00640D15"/>
    <w:rsid w:val="0064121E"/>
    <w:rsid w:val="00660351"/>
    <w:rsid w:val="006A21D0"/>
    <w:rsid w:val="006A3248"/>
    <w:rsid w:val="006F0636"/>
    <w:rsid w:val="00707AB0"/>
    <w:rsid w:val="007201D3"/>
    <w:rsid w:val="007337FA"/>
    <w:rsid w:val="007414C5"/>
    <w:rsid w:val="0074191F"/>
    <w:rsid w:val="0074776E"/>
    <w:rsid w:val="00777803"/>
    <w:rsid w:val="00777DD9"/>
    <w:rsid w:val="007B4E79"/>
    <w:rsid w:val="007B6849"/>
    <w:rsid w:val="007D056B"/>
    <w:rsid w:val="00817EEE"/>
    <w:rsid w:val="0082527D"/>
    <w:rsid w:val="0084048C"/>
    <w:rsid w:val="00862B8A"/>
    <w:rsid w:val="00865307"/>
    <w:rsid w:val="008A58D5"/>
    <w:rsid w:val="008B19F1"/>
    <w:rsid w:val="0091138D"/>
    <w:rsid w:val="0093509C"/>
    <w:rsid w:val="009454CF"/>
    <w:rsid w:val="00947E11"/>
    <w:rsid w:val="00963261"/>
    <w:rsid w:val="0098778C"/>
    <w:rsid w:val="00991B79"/>
    <w:rsid w:val="00992EAE"/>
    <w:rsid w:val="009B76AB"/>
    <w:rsid w:val="009C43ED"/>
    <w:rsid w:val="00A16F4F"/>
    <w:rsid w:val="00A22068"/>
    <w:rsid w:val="00A76D7E"/>
    <w:rsid w:val="00A82008"/>
    <w:rsid w:val="00A93330"/>
    <w:rsid w:val="00AD4B14"/>
    <w:rsid w:val="00B35F77"/>
    <w:rsid w:val="00B95CBE"/>
    <w:rsid w:val="00BA0696"/>
    <w:rsid w:val="00BB3D80"/>
    <w:rsid w:val="00BD64CC"/>
    <w:rsid w:val="00BE5FAA"/>
    <w:rsid w:val="00BF7533"/>
    <w:rsid w:val="00C14A92"/>
    <w:rsid w:val="00C83CAB"/>
    <w:rsid w:val="00D046E7"/>
    <w:rsid w:val="00D16053"/>
    <w:rsid w:val="00D22DF0"/>
    <w:rsid w:val="00D56AE4"/>
    <w:rsid w:val="00D8497C"/>
    <w:rsid w:val="00DB07D8"/>
    <w:rsid w:val="00DC20C0"/>
    <w:rsid w:val="00DD1FDA"/>
    <w:rsid w:val="00E00FF6"/>
    <w:rsid w:val="00E13430"/>
    <w:rsid w:val="00E32A21"/>
    <w:rsid w:val="00E444AA"/>
    <w:rsid w:val="00E65FF5"/>
    <w:rsid w:val="00E66D6F"/>
    <w:rsid w:val="00E96E65"/>
    <w:rsid w:val="00EC4817"/>
    <w:rsid w:val="00ED165C"/>
    <w:rsid w:val="00ED661F"/>
    <w:rsid w:val="00F01360"/>
    <w:rsid w:val="00F0224A"/>
    <w:rsid w:val="00F06BC9"/>
    <w:rsid w:val="00F72D06"/>
    <w:rsid w:val="00F85F4A"/>
    <w:rsid w:val="00F9723B"/>
    <w:rsid w:val="00FF5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80"/>
    <o:shapelayout v:ext="edit">
      <o:idmap v:ext="edit" data="3"/>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rsid w:val="004A352F"/>
    <w:pPr>
      <w:spacing w:after="160" w:line="259" w:lineRule="auto"/>
    </w:pPr>
    <w:rPr>
      <w:color w:val="595959"/>
      <w:szCs w:val="22"/>
    </w:rPr>
  </w:style>
  <w:style w:type="paragraph" w:styleId="Heading1">
    <w:name w:val="heading 1"/>
    <w:basedOn w:val="BodyText2"/>
    <w:next w:val="Normal"/>
    <w:link w:val="Heading1Char"/>
    <w:uiPriority w:val="9"/>
    <w:qFormat/>
    <w:rsid w:val="00E00FF6"/>
    <w:pPr>
      <w:spacing w:after="120"/>
      <w:ind w:left="0" w:right="0"/>
      <w:outlineLvl w:val="0"/>
    </w:pPr>
    <w:rPr>
      <w:color w:val="4884A2"/>
      <w:sz w:val="24"/>
    </w:rPr>
  </w:style>
  <w:style w:type="paragraph" w:styleId="Heading2">
    <w:name w:val="heading 2"/>
    <w:basedOn w:val="Normal"/>
    <w:next w:val="Normal"/>
    <w:link w:val="Heading2Char"/>
    <w:uiPriority w:val="9"/>
    <w:unhideWhenUsed/>
    <w:qFormat/>
    <w:rsid w:val="00F06BC9"/>
    <w:pPr>
      <w:spacing w:before="240" w:after="120"/>
      <w:outlineLvl w:val="1"/>
    </w:pPr>
    <w:rPr>
      <w:b/>
      <w:i/>
      <w:sz w:val="24"/>
    </w:rPr>
  </w:style>
  <w:style w:type="paragraph" w:styleId="Heading3">
    <w:name w:val="heading 3"/>
    <w:basedOn w:val="Normal"/>
    <w:next w:val="Normal"/>
    <w:link w:val="Heading3Char"/>
    <w:uiPriority w:val="9"/>
    <w:unhideWhenUsed/>
    <w:qFormat/>
    <w:rsid w:val="00F06BC9"/>
    <w:pPr>
      <w:spacing w:before="240" w:after="120"/>
      <w:outlineLvl w:val="2"/>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00FF6"/>
    <w:rPr>
      <w:rFonts w:eastAsia="Times New Roman"/>
      <w:b/>
      <w:caps/>
      <w:color w:val="4884A2"/>
      <w:sz w:val="24"/>
    </w:rPr>
  </w:style>
  <w:style w:type="character" w:customStyle="1" w:styleId="Heading2Char">
    <w:name w:val="Heading 2 Char"/>
    <w:link w:val="Heading2"/>
    <w:uiPriority w:val="9"/>
    <w:rsid w:val="00F06BC9"/>
    <w:rPr>
      <w:b/>
      <w:i/>
      <w:color w:val="595959"/>
      <w:sz w:val="24"/>
      <w:szCs w:val="22"/>
    </w:rPr>
  </w:style>
  <w:style w:type="character" w:styleId="Strong">
    <w:name w:val="Strong"/>
    <w:aliases w:val="Subheading"/>
    <w:rsid w:val="000D733F"/>
    <w:rPr>
      <w:color w:val="BC5D58"/>
    </w:rPr>
  </w:style>
  <w:style w:type="paragraph" w:styleId="BodyText2">
    <w:name w:val="Body Text 2"/>
    <w:aliases w:val="Subtitle 1"/>
    <w:basedOn w:val="Normal"/>
    <w:next w:val="BodyText"/>
    <w:link w:val="BodyText2Char"/>
    <w:rsid w:val="00777DD9"/>
    <w:pPr>
      <w:spacing w:before="240" w:after="80" w:line="240" w:lineRule="auto"/>
      <w:ind w:left="-540" w:right="2880"/>
    </w:pPr>
    <w:rPr>
      <w:rFonts w:eastAsia="Times New Roman"/>
      <w:b/>
      <w:caps/>
      <w:color w:val="C93535"/>
      <w:szCs w:val="20"/>
    </w:rPr>
  </w:style>
  <w:style w:type="character" w:customStyle="1" w:styleId="BodyText2Char">
    <w:name w:val="Body Text 2 Char"/>
    <w:aliases w:val="Subtitle 1 Char"/>
    <w:link w:val="BodyText2"/>
    <w:rsid w:val="00777DD9"/>
    <w:rPr>
      <w:rFonts w:ascii="Calibri" w:eastAsia="Times New Roman" w:hAnsi="Calibri" w:cs="Times New Roman"/>
      <w:b/>
      <w:caps/>
      <w:color w:val="C93535"/>
      <w:szCs w:val="20"/>
    </w:rPr>
  </w:style>
  <w:style w:type="paragraph" w:styleId="BodyText">
    <w:name w:val="Body Text"/>
    <w:basedOn w:val="BodyText2"/>
    <w:link w:val="BodyTextChar"/>
    <w:qFormat/>
    <w:rsid w:val="007201D3"/>
    <w:pPr>
      <w:spacing w:after="120" w:line="259" w:lineRule="auto"/>
      <w:ind w:left="0" w:right="0"/>
      <w:jc w:val="both"/>
    </w:pPr>
    <w:rPr>
      <w:rFonts w:cs="Arial"/>
      <w:b w:val="0"/>
      <w:caps w:val="0"/>
      <w:color w:val="595959"/>
      <w:sz w:val="22"/>
    </w:rPr>
  </w:style>
  <w:style w:type="character" w:customStyle="1" w:styleId="BodyTextChar">
    <w:name w:val="Body Text Char"/>
    <w:link w:val="BodyText"/>
    <w:rsid w:val="007201D3"/>
    <w:rPr>
      <w:rFonts w:eastAsia="Times New Roman" w:cs="Arial"/>
      <w:color w:val="595959"/>
      <w:sz w:val="22"/>
    </w:rPr>
  </w:style>
  <w:style w:type="paragraph" w:customStyle="1" w:styleId="H-Heading">
    <w:name w:val="H-Heading"/>
    <w:basedOn w:val="Normal"/>
    <w:link w:val="H-HeadingChar"/>
    <w:qFormat/>
    <w:rsid w:val="00E00FF6"/>
    <w:pPr>
      <w:pBdr>
        <w:bottom w:val="single" w:sz="8" w:space="1" w:color="4884A2"/>
      </w:pBdr>
      <w:spacing w:before="240" w:after="120"/>
    </w:pPr>
    <w:rPr>
      <w:b/>
      <w:caps/>
      <w:color w:val="E5874D"/>
      <w:sz w:val="24"/>
    </w:rPr>
  </w:style>
  <w:style w:type="character" w:customStyle="1" w:styleId="H-HeadingChar">
    <w:name w:val="H-Heading Char"/>
    <w:link w:val="H-Heading"/>
    <w:rsid w:val="00E00FF6"/>
    <w:rPr>
      <w:b/>
      <w:caps/>
      <w:color w:val="E5874D"/>
      <w:sz w:val="24"/>
      <w:szCs w:val="22"/>
    </w:rPr>
  </w:style>
  <w:style w:type="paragraph" w:styleId="Title">
    <w:name w:val="Title"/>
    <w:basedOn w:val="Normal"/>
    <w:next w:val="Normal"/>
    <w:link w:val="TitleChar"/>
    <w:uiPriority w:val="10"/>
    <w:qFormat/>
    <w:rsid w:val="00E00FF6"/>
    <w:pPr>
      <w:spacing w:line="240" w:lineRule="auto"/>
      <w:outlineLvl w:val="0"/>
    </w:pPr>
    <w:rPr>
      <w:rFonts w:cs="Arial"/>
      <w:b/>
      <w:noProof/>
      <w:color w:val="4884A2"/>
      <w:sz w:val="40"/>
    </w:rPr>
  </w:style>
  <w:style w:type="character" w:customStyle="1" w:styleId="TitleChar">
    <w:name w:val="Title Char"/>
    <w:link w:val="Title"/>
    <w:uiPriority w:val="10"/>
    <w:rsid w:val="00E00FF6"/>
    <w:rPr>
      <w:rFonts w:cs="Arial"/>
      <w:b/>
      <w:noProof/>
      <w:color w:val="4884A2"/>
      <w:sz w:val="40"/>
      <w:szCs w:val="22"/>
    </w:rPr>
  </w:style>
  <w:style w:type="paragraph" w:styleId="Header">
    <w:name w:val="header"/>
    <w:basedOn w:val="Normal"/>
    <w:link w:val="HeaderChar"/>
    <w:uiPriority w:val="99"/>
    <w:unhideWhenUsed/>
    <w:rsid w:val="00777DD9"/>
    <w:pPr>
      <w:tabs>
        <w:tab w:val="center" w:pos="4680"/>
        <w:tab w:val="right" w:pos="9360"/>
      </w:tabs>
      <w:spacing w:after="0" w:line="240" w:lineRule="auto"/>
    </w:pPr>
  </w:style>
  <w:style w:type="character" w:customStyle="1" w:styleId="HeaderChar">
    <w:name w:val="Header Char"/>
    <w:link w:val="Header"/>
    <w:uiPriority w:val="99"/>
    <w:rsid w:val="00777DD9"/>
    <w:rPr>
      <w:rFonts w:ascii="Calibri" w:eastAsia="Calibri" w:hAnsi="Calibri" w:cs="Times New Roman"/>
    </w:rPr>
  </w:style>
  <w:style w:type="paragraph" w:styleId="Footer">
    <w:name w:val="footer"/>
    <w:basedOn w:val="Normal"/>
    <w:link w:val="FooterChar"/>
    <w:uiPriority w:val="99"/>
    <w:unhideWhenUsed/>
    <w:rsid w:val="00777DD9"/>
    <w:pPr>
      <w:tabs>
        <w:tab w:val="center" w:pos="4680"/>
        <w:tab w:val="right" w:pos="9360"/>
      </w:tabs>
      <w:spacing w:after="0" w:line="240" w:lineRule="auto"/>
    </w:pPr>
  </w:style>
  <w:style w:type="character" w:customStyle="1" w:styleId="FooterChar">
    <w:name w:val="Footer Char"/>
    <w:link w:val="Footer"/>
    <w:uiPriority w:val="99"/>
    <w:rsid w:val="00777DD9"/>
    <w:rPr>
      <w:rFonts w:ascii="Calibri" w:eastAsia="Calibri" w:hAnsi="Calibri" w:cs="Times New Roman"/>
    </w:rPr>
  </w:style>
  <w:style w:type="character" w:styleId="SubtleReference">
    <w:name w:val="Subtle Reference"/>
    <w:uiPriority w:val="31"/>
    <w:rsid w:val="00BA0696"/>
    <w:rPr>
      <w:rFonts w:ascii="Calibri" w:hAnsi="Calibri"/>
      <w:dstrike w:val="0"/>
      <w:color w:val="7F7F7F"/>
      <w:sz w:val="16"/>
      <w:u w:val="none"/>
      <w:vertAlign w:val="baseline"/>
    </w:rPr>
  </w:style>
  <w:style w:type="table" w:styleId="TableGrid">
    <w:name w:val="Table Grid"/>
    <w:basedOn w:val="TableNormal"/>
    <w:uiPriority w:val="39"/>
    <w:rsid w:val="00236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xheading">
    <w:name w:val="Text box heading"/>
    <w:basedOn w:val="BodyText2"/>
    <w:link w:val="TextboxheadingChar"/>
    <w:rsid w:val="002364F9"/>
    <w:pPr>
      <w:ind w:left="0" w:right="0"/>
    </w:pPr>
    <w:rPr>
      <w:color w:val="FFFFFF"/>
      <w:sz w:val="28"/>
    </w:rPr>
  </w:style>
  <w:style w:type="character" w:customStyle="1" w:styleId="TextboxheadingChar">
    <w:name w:val="Text box heading Char"/>
    <w:link w:val="Textboxheading"/>
    <w:rsid w:val="002364F9"/>
    <w:rPr>
      <w:rFonts w:ascii="Calibri" w:eastAsia="Times New Roman" w:hAnsi="Calibri" w:cs="Times New Roman"/>
      <w:b/>
      <w:caps/>
      <w:color w:val="FFFFFF"/>
      <w:sz w:val="28"/>
      <w:szCs w:val="20"/>
    </w:rPr>
  </w:style>
  <w:style w:type="paragraph" w:customStyle="1" w:styleId="BulletlistHighlight">
    <w:name w:val="Bullet list Highlight"/>
    <w:basedOn w:val="BodyText"/>
    <w:link w:val="BulletlistHighlightChar"/>
    <w:rsid w:val="0082527D"/>
    <w:pPr>
      <w:numPr>
        <w:numId w:val="1"/>
      </w:numPr>
      <w:spacing w:before="120"/>
    </w:pPr>
    <w:rPr>
      <w:color w:val="FFFFFF"/>
    </w:rPr>
  </w:style>
  <w:style w:type="character" w:customStyle="1" w:styleId="BulletlistHighlightChar">
    <w:name w:val="Bullet list Highlight Char"/>
    <w:link w:val="BulletlistHighlight"/>
    <w:rsid w:val="0082527D"/>
    <w:rPr>
      <w:rFonts w:ascii="Calibri" w:eastAsia="Times New Roman" w:hAnsi="Calibri" w:cs="Arial"/>
      <w:color w:val="FFFFFF"/>
      <w:sz w:val="20"/>
      <w:szCs w:val="20"/>
    </w:rPr>
  </w:style>
  <w:style w:type="paragraph" w:customStyle="1" w:styleId="BulletList">
    <w:name w:val="Bullet List"/>
    <w:basedOn w:val="BodyText"/>
    <w:link w:val="BulletListChar"/>
    <w:qFormat/>
    <w:rsid w:val="007201D3"/>
    <w:pPr>
      <w:numPr>
        <w:numId w:val="2"/>
      </w:numPr>
      <w:spacing w:before="120"/>
    </w:pPr>
  </w:style>
  <w:style w:type="character" w:customStyle="1" w:styleId="BulletListChar">
    <w:name w:val="Bullet List Char"/>
    <w:link w:val="BulletList"/>
    <w:rsid w:val="007201D3"/>
    <w:rPr>
      <w:rFonts w:eastAsia="Times New Roman" w:cs="Arial"/>
      <w:color w:val="595959"/>
      <w:sz w:val="22"/>
    </w:rPr>
  </w:style>
  <w:style w:type="paragraph" w:customStyle="1" w:styleId="H-Text">
    <w:name w:val="H-Text"/>
    <w:basedOn w:val="Heading2"/>
    <w:link w:val="H-TextChar"/>
    <w:qFormat/>
    <w:rsid w:val="00281307"/>
    <w:pPr>
      <w:spacing w:before="120"/>
    </w:pPr>
    <w:rPr>
      <w:b w:val="0"/>
      <w:i w:val="0"/>
      <w:sz w:val="22"/>
    </w:rPr>
  </w:style>
  <w:style w:type="character" w:customStyle="1" w:styleId="Heading3Char">
    <w:name w:val="Heading 3 Char"/>
    <w:link w:val="Heading3"/>
    <w:uiPriority w:val="9"/>
    <w:rsid w:val="00F06BC9"/>
    <w:rPr>
      <w:i/>
      <w:color w:val="595959"/>
      <w:sz w:val="24"/>
      <w:szCs w:val="22"/>
    </w:rPr>
  </w:style>
  <w:style w:type="character" w:customStyle="1" w:styleId="H-TextChar">
    <w:name w:val="H-Text Char"/>
    <w:link w:val="H-Text"/>
    <w:rsid w:val="00281307"/>
    <w:rPr>
      <w:color w:val="595959"/>
      <w:sz w:val="22"/>
      <w:szCs w:val="22"/>
    </w:rPr>
  </w:style>
  <w:style w:type="paragraph" w:customStyle="1" w:styleId="T-Heading">
    <w:name w:val="T-Heading"/>
    <w:basedOn w:val="Normal"/>
    <w:link w:val="T-HeadingChar"/>
    <w:qFormat/>
    <w:rsid w:val="0084048C"/>
    <w:pPr>
      <w:spacing w:before="120" w:after="120" w:line="240" w:lineRule="auto"/>
      <w:jc w:val="center"/>
    </w:pPr>
    <w:rPr>
      <w:b/>
      <w:caps/>
      <w:color w:val="FFFFFF"/>
      <w:sz w:val="28"/>
      <w:szCs w:val="20"/>
    </w:rPr>
  </w:style>
  <w:style w:type="paragraph" w:customStyle="1" w:styleId="T-Text">
    <w:name w:val="T-Text"/>
    <w:basedOn w:val="Normal"/>
    <w:link w:val="T-TextChar"/>
    <w:qFormat/>
    <w:rsid w:val="007201D3"/>
    <w:pPr>
      <w:spacing w:before="120" w:after="120" w:line="240" w:lineRule="auto"/>
    </w:pPr>
    <w:rPr>
      <w:sz w:val="22"/>
      <w:szCs w:val="20"/>
    </w:rPr>
  </w:style>
  <w:style w:type="character" w:customStyle="1" w:styleId="T-HeadingChar">
    <w:name w:val="T-Heading Char"/>
    <w:link w:val="T-Heading"/>
    <w:rsid w:val="0084048C"/>
    <w:rPr>
      <w:b/>
      <w:caps/>
      <w:color w:val="FFFFFF"/>
      <w:sz w:val="28"/>
      <w:szCs w:val="20"/>
    </w:rPr>
  </w:style>
  <w:style w:type="paragraph" w:styleId="ListParagraph">
    <w:name w:val="List Paragraph"/>
    <w:basedOn w:val="Normal"/>
    <w:link w:val="ListParagraphChar"/>
    <w:uiPriority w:val="34"/>
    <w:rsid w:val="004D0A73"/>
    <w:pPr>
      <w:ind w:left="720"/>
      <w:contextualSpacing/>
    </w:pPr>
  </w:style>
  <w:style w:type="character" w:customStyle="1" w:styleId="T-TextChar">
    <w:name w:val="T-Text Char"/>
    <w:link w:val="T-Text"/>
    <w:rsid w:val="007201D3"/>
    <w:rPr>
      <w:color w:val="595959"/>
      <w:sz w:val="22"/>
    </w:rPr>
  </w:style>
  <w:style w:type="paragraph" w:customStyle="1" w:styleId="T-BulletList">
    <w:name w:val="T-Bullet List"/>
    <w:basedOn w:val="ListParagraph"/>
    <w:link w:val="T-BulletListChar"/>
    <w:qFormat/>
    <w:rsid w:val="007201D3"/>
    <w:pPr>
      <w:numPr>
        <w:numId w:val="11"/>
      </w:numPr>
      <w:spacing w:before="120" w:after="120" w:line="240" w:lineRule="auto"/>
      <w:contextualSpacing w:val="0"/>
    </w:pPr>
    <w:rPr>
      <w:sz w:val="22"/>
      <w:szCs w:val="20"/>
    </w:rPr>
  </w:style>
  <w:style w:type="paragraph" w:customStyle="1" w:styleId="H-BulletList0">
    <w:name w:val="H-Bullet List"/>
    <w:basedOn w:val="T-BulletList"/>
    <w:link w:val="H-BulletListChar"/>
    <w:rsid w:val="007201D3"/>
    <w:pPr>
      <w:numPr>
        <w:numId w:val="3"/>
      </w:numPr>
    </w:pPr>
    <w:rPr>
      <w:szCs w:val="24"/>
    </w:rPr>
  </w:style>
  <w:style w:type="character" w:customStyle="1" w:styleId="ListParagraphChar">
    <w:name w:val="List Paragraph Char"/>
    <w:link w:val="ListParagraph"/>
    <w:uiPriority w:val="34"/>
    <w:rsid w:val="003774F7"/>
    <w:rPr>
      <w:rFonts w:ascii="Calibri" w:eastAsia="Calibri" w:hAnsi="Calibri" w:cs="Times New Roman"/>
    </w:rPr>
  </w:style>
  <w:style w:type="character" w:customStyle="1" w:styleId="T-BulletListChar">
    <w:name w:val="T-Bullet List Char"/>
    <w:link w:val="T-BulletList"/>
    <w:rsid w:val="007201D3"/>
    <w:rPr>
      <w:color w:val="595959"/>
      <w:sz w:val="22"/>
    </w:rPr>
  </w:style>
  <w:style w:type="paragraph" w:customStyle="1" w:styleId="LR-Heading">
    <w:name w:val="LR-Heading"/>
    <w:basedOn w:val="Textboxheading"/>
    <w:link w:val="LR-HeadingChar"/>
    <w:qFormat/>
    <w:rsid w:val="00E00FF6"/>
    <w:pPr>
      <w:spacing w:before="120" w:after="120"/>
    </w:pPr>
    <w:rPr>
      <w:color w:val="E5874D"/>
    </w:rPr>
  </w:style>
  <w:style w:type="character" w:customStyle="1" w:styleId="H-BulletListChar">
    <w:name w:val="H-Bullet List Char"/>
    <w:link w:val="H-BulletList0"/>
    <w:rsid w:val="007201D3"/>
    <w:rPr>
      <w:color w:val="595959"/>
      <w:sz w:val="22"/>
      <w:szCs w:val="24"/>
    </w:rPr>
  </w:style>
  <w:style w:type="paragraph" w:customStyle="1" w:styleId="LR-Text">
    <w:name w:val="LR-Text"/>
    <w:basedOn w:val="BulletlistHighlight"/>
    <w:link w:val="LR-TextChar"/>
    <w:qFormat/>
    <w:rsid w:val="007201D3"/>
    <w:pPr>
      <w:numPr>
        <w:numId w:val="0"/>
      </w:numPr>
    </w:pPr>
    <w:rPr>
      <w:color w:val="595959"/>
    </w:rPr>
  </w:style>
  <w:style w:type="character" w:customStyle="1" w:styleId="LR-HeadingChar">
    <w:name w:val="LR-Heading Char"/>
    <w:link w:val="LR-Heading"/>
    <w:rsid w:val="00E00FF6"/>
    <w:rPr>
      <w:rFonts w:eastAsia="Times New Roman"/>
      <w:b/>
      <w:caps/>
      <w:color w:val="E5874D"/>
      <w:sz w:val="28"/>
    </w:rPr>
  </w:style>
  <w:style w:type="paragraph" w:customStyle="1" w:styleId="LR-BulletList">
    <w:name w:val="LR-Bullet List"/>
    <w:basedOn w:val="BulletlistHighlight"/>
    <w:link w:val="LR-BulletListChar"/>
    <w:qFormat/>
    <w:rsid w:val="007201D3"/>
    <w:rPr>
      <w:color w:val="595959"/>
    </w:rPr>
  </w:style>
  <w:style w:type="character" w:customStyle="1" w:styleId="LR-TextChar">
    <w:name w:val="LR-Text Char"/>
    <w:link w:val="LR-Text"/>
    <w:rsid w:val="007201D3"/>
    <w:rPr>
      <w:rFonts w:eastAsia="Times New Roman" w:cs="Arial"/>
      <w:color w:val="595959"/>
      <w:sz w:val="22"/>
    </w:rPr>
  </w:style>
  <w:style w:type="paragraph" w:customStyle="1" w:styleId="FooterText">
    <w:name w:val="Footer Text"/>
    <w:basedOn w:val="Normal"/>
    <w:link w:val="FooterTextChar"/>
    <w:rsid w:val="003774F7"/>
    <w:rPr>
      <w:rFonts w:ascii="Verdana" w:hAnsi="Verdana"/>
    </w:rPr>
  </w:style>
  <w:style w:type="character" w:customStyle="1" w:styleId="LR-BulletListChar">
    <w:name w:val="LR-Bullet List Char"/>
    <w:link w:val="LR-BulletList"/>
    <w:rsid w:val="007201D3"/>
    <w:rPr>
      <w:rFonts w:eastAsia="Times New Roman" w:cs="Arial"/>
      <w:color w:val="595959"/>
      <w:sz w:val="22"/>
    </w:rPr>
  </w:style>
  <w:style w:type="paragraph" w:customStyle="1" w:styleId="Providedby">
    <w:name w:val="Provided by"/>
    <w:basedOn w:val="BodyText"/>
    <w:link w:val="ProvidedbyChar"/>
    <w:rsid w:val="003774F7"/>
    <w:pPr>
      <w:ind w:right="-10"/>
    </w:pPr>
    <w:rPr>
      <w:b/>
      <w:noProof/>
      <w:color w:val="BC5D58"/>
    </w:rPr>
  </w:style>
  <w:style w:type="character" w:customStyle="1" w:styleId="FooterTextChar">
    <w:name w:val="Footer Text Char"/>
    <w:link w:val="FooterText"/>
    <w:rsid w:val="003774F7"/>
    <w:rPr>
      <w:rFonts w:ascii="Verdana" w:eastAsia="Calibri" w:hAnsi="Verdana" w:cs="Times New Roman"/>
    </w:rPr>
  </w:style>
  <w:style w:type="character" w:customStyle="1" w:styleId="ProvidedbyChar">
    <w:name w:val="Provided by Char"/>
    <w:link w:val="Providedby"/>
    <w:rsid w:val="003774F7"/>
    <w:rPr>
      <w:rFonts w:ascii="Calibri" w:eastAsia="Times New Roman" w:hAnsi="Calibri" w:cs="Arial"/>
      <w:b/>
      <w:noProof/>
      <w:color w:val="BC5D58"/>
      <w:sz w:val="20"/>
      <w:szCs w:val="20"/>
    </w:rPr>
  </w:style>
  <w:style w:type="paragraph" w:customStyle="1" w:styleId="MergeField">
    <w:name w:val="Merge Field"/>
    <w:basedOn w:val="Providedby"/>
    <w:link w:val="MergeFieldChar"/>
    <w:qFormat/>
    <w:rsid w:val="00E00FF6"/>
    <w:rPr>
      <w:color w:val="4884A2"/>
    </w:rPr>
  </w:style>
  <w:style w:type="paragraph" w:customStyle="1" w:styleId="Numbering">
    <w:name w:val="Numbering"/>
    <w:basedOn w:val="BodyText"/>
    <w:link w:val="NumberingChar"/>
    <w:qFormat/>
    <w:rsid w:val="00F0224A"/>
    <w:pPr>
      <w:numPr>
        <w:numId w:val="10"/>
      </w:numPr>
      <w:spacing w:before="120"/>
    </w:pPr>
  </w:style>
  <w:style w:type="character" w:customStyle="1" w:styleId="MergeFieldChar">
    <w:name w:val="Merge Field Char"/>
    <w:link w:val="MergeField"/>
    <w:rsid w:val="00E00FF6"/>
    <w:rPr>
      <w:rFonts w:ascii="Calibri" w:eastAsia="Times New Roman" w:hAnsi="Calibri" w:cs="Arial"/>
      <w:b/>
      <w:noProof/>
      <w:color w:val="4884A2"/>
      <w:sz w:val="22"/>
      <w:szCs w:val="20"/>
    </w:rPr>
  </w:style>
  <w:style w:type="paragraph" w:customStyle="1" w:styleId="Disclaimer">
    <w:name w:val="Disclaimer"/>
    <w:basedOn w:val="FooterText"/>
    <w:link w:val="DisclaimerChar"/>
    <w:qFormat/>
    <w:rsid w:val="00947E11"/>
    <w:rPr>
      <w:color w:val="7F7F7F"/>
      <w:sz w:val="16"/>
    </w:rPr>
  </w:style>
  <w:style w:type="character" w:customStyle="1" w:styleId="NumberingChar">
    <w:name w:val="Numbering Char"/>
    <w:link w:val="Numbering"/>
    <w:rsid w:val="00F0224A"/>
    <w:rPr>
      <w:rFonts w:eastAsia="Times New Roman" w:cs="Arial"/>
      <w:color w:val="595959"/>
      <w:sz w:val="22"/>
    </w:rPr>
  </w:style>
  <w:style w:type="paragraph" w:customStyle="1" w:styleId="Bullets">
    <w:name w:val="Bullets"/>
    <w:basedOn w:val="BodyText"/>
    <w:link w:val="BulletsChar"/>
    <w:rsid w:val="00E00FF6"/>
    <w:pPr>
      <w:numPr>
        <w:numId w:val="13"/>
      </w:numPr>
      <w:spacing w:before="120" w:after="240"/>
    </w:pPr>
  </w:style>
  <w:style w:type="character" w:customStyle="1" w:styleId="DisclaimerChar">
    <w:name w:val="Disclaimer Char"/>
    <w:link w:val="Disclaimer"/>
    <w:rsid w:val="00947E11"/>
    <w:rPr>
      <w:rFonts w:ascii="Verdana" w:eastAsia="Calibri" w:hAnsi="Verdana" w:cs="Times New Roman"/>
      <w:color w:val="7F7F7F"/>
      <w:sz w:val="16"/>
    </w:rPr>
  </w:style>
  <w:style w:type="character" w:customStyle="1" w:styleId="BulletsChar">
    <w:name w:val="Bullets Char"/>
    <w:link w:val="Bullets"/>
    <w:rsid w:val="00E00FF6"/>
    <w:rPr>
      <w:rFonts w:eastAsia="Times New Roman" w:cs="Arial"/>
      <w:color w:val="595959"/>
      <w:sz w:val="22"/>
    </w:rPr>
  </w:style>
  <w:style w:type="paragraph" w:customStyle="1" w:styleId="H-Bulletlist">
    <w:name w:val="H-Bullet list"/>
    <w:basedOn w:val="H-Text"/>
    <w:link w:val="H-BulletlistChar0"/>
    <w:qFormat/>
    <w:rsid w:val="00E00FF6"/>
    <w:pPr>
      <w:numPr>
        <w:numId w:val="12"/>
      </w:numPr>
      <w:spacing w:line="240" w:lineRule="auto"/>
      <w:ind w:left="273" w:hanging="187"/>
    </w:pPr>
  </w:style>
  <w:style w:type="character" w:customStyle="1" w:styleId="H-BulletlistChar0">
    <w:name w:val="H-Bullet list Char"/>
    <w:link w:val="H-Bulletlist"/>
    <w:rsid w:val="00E00FF6"/>
    <w:rPr>
      <w:color w:val="595959"/>
      <w:sz w:val="22"/>
      <w:szCs w:val="22"/>
    </w:rPr>
  </w:style>
  <w:style w:type="paragraph" w:customStyle="1" w:styleId="Style1">
    <w:name w:val="Style1"/>
    <w:basedOn w:val="Normal"/>
    <w:link w:val="Style1Char"/>
    <w:rsid w:val="00F06BC9"/>
    <w:pPr>
      <w:pBdr>
        <w:bottom w:val="single" w:sz="18" w:space="1" w:color="4884A2"/>
      </w:pBdr>
      <w:spacing w:line="312" w:lineRule="auto"/>
    </w:pPr>
    <w:rPr>
      <w:b/>
      <w:i/>
      <w:color w:val="4884A2"/>
      <w:sz w:val="32"/>
      <w:szCs w:val="26"/>
    </w:rPr>
  </w:style>
  <w:style w:type="character" w:styleId="Hyperlink">
    <w:name w:val="Hyperlink"/>
    <w:uiPriority w:val="99"/>
    <w:unhideWhenUsed/>
    <w:rsid w:val="006A3248"/>
    <w:rPr>
      <w:color w:val="0563C1"/>
      <w:u w:val="single"/>
    </w:rPr>
  </w:style>
  <w:style w:type="character" w:customStyle="1" w:styleId="Style1Char">
    <w:name w:val="Style1 Char"/>
    <w:link w:val="Style1"/>
    <w:rsid w:val="00F06BC9"/>
    <w:rPr>
      <w:b/>
      <w:i/>
      <w:color w:val="4884A2"/>
      <w:sz w:val="32"/>
      <w:szCs w:val="26"/>
    </w:rPr>
  </w:style>
  <w:style w:type="character" w:customStyle="1" w:styleId="UnresolvedMention1">
    <w:name w:val="Unresolved Mention1"/>
    <w:uiPriority w:val="99"/>
    <w:semiHidden/>
    <w:unhideWhenUsed/>
    <w:rsid w:val="006A3248"/>
    <w:rPr>
      <w:color w:val="605E5C"/>
      <w:shd w:val="clear" w:color="auto" w:fill="E1DFDD"/>
    </w:rPr>
  </w:style>
  <w:style w:type="character" w:styleId="CommentReference">
    <w:name w:val="annotation reference"/>
    <w:uiPriority w:val="99"/>
    <w:semiHidden/>
    <w:unhideWhenUsed/>
    <w:rsid w:val="00EC4817"/>
    <w:rPr>
      <w:sz w:val="16"/>
      <w:szCs w:val="16"/>
    </w:rPr>
  </w:style>
  <w:style w:type="paragraph" w:styleId="CommentText">
    <w:name w:val="annotation text"/>
    <w:basedOn w:val="Normal"/>
    <w:link w:val="CommentTextChar"/>
    <w:uiPriority w:val="99"/>
    <w:semiHidden/>
    <w:unhideWhenUsed/>
    <w:rsid w:val="00EC4817"/>
    <w:rPr>
      <w:szCs w:val="20"/>
    </w:rPr>
  </w:style>
  <w:style w:type="character" w:customStyle="1" w:styleId="CommentTextChar">
    <w:name w:val="Comment Text Char"/>
    <w:link w:val="CommentText"/>
    <w:uiPriority w:val="99"/>
    <w:semiHidden/>
    <w:rsid w:val="00EC4817"/>
    <w:rPr>
      <w:color w:val="595959"/>
    </w:rPr>
  </w:style>
  <w:style w:type="paragraph" w:styleId="CommentSubject">
    <w:name w:val="annotation subject"/>
    <w:basedOn w:val="CommentText"/>
    <w:next w:val="CommentText"/>
    <w:link w:val="CommentSubjectChar"/>
    <w:uiPriority w:val="99"/>
    <w:semiHidden/>
    <w:unhideWhenUsed/>
    <w:rsid w:val="00EC4817"/>
    <w:rPr>
      <w:b/>
      <w:bCs/>
    </w:rPr>
  </w:style>
  <w:style w:type="character" w:customStyle="1" w:styleId="CommentSubjectChar">
    <w:name w:val="Comment Subject Char"/>
    <w:link w:val="CommentSubject"/>
    <w:uiPriority w:val="99"/>
    <w:semiHidden/>
    <w:rsid w:val="00EC4817"/>
    <w:rPr>
      <w:b/>
      <w:bCs/>
      <w:color w:val="595959"/>
    </w:rPr>
  </w:style>
  <w:style w:type="paragraph" w:styleId="Revision">
    <w:name w:val="Revision"/>
    <w:hidden/>
    <w:uiPriority w:val="99"/>
    <w:semiHidden/>
    <w:rsid w:val="00EC4817"/>
    <w:rPr>
      <w:color w:val="595959"/>
      <w:szCs w:val="22"/>
    </w:rPr>
  </w:style>
  <w:style w:type="paragraph" w:styleId="BalloonText">
    <w:name w:val="Balloon Text"/>
    <w:basedOn w:val="Normal"/>
    <w:link w:val="BalloonTextChar"/>
    <w:uiPriority w:val="99"/>
    <w:semiHidden/>
    <w:unhideWhenUsed/>
    <w:rsid w:val="00EC481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C4817"/>
    <w:rPr>
      <w:rFonts w:ascii="Segoe UI" w:hAnsi="Segoe UI" w:cs="Segoe UI"/>
      <w:color w:val="595959"/>
      <w:sz w:val="18"/>
      <w:szCs w:val="18"/>
    </w:rPr>
  </w:style>
  <w:style w:type="character" w:styleId="FollowedHyperlink">
    <w:name w:val="FollowedHyperlink"/>
    <w:uiPriority w:val="99"/>
    <w:semiHidden/>
    <w:unhideWhenUsed/>
    <w:rsid w:val="00F0136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yperlink" Target="https://www.federalregister.gov/documents/2019/09/27/2019-20353/defining-and-delimiting-the-exemptions-for-executive-administrative-professional-outside-sales-and" TargetMode="External"/><Relationship Id="rId3" Type="http://schemas.openxmlformats.org/officeDocument/2006/relationships/styles" Target="styles.xml"/><Relationship Id="rId21" Type="http://schemas.openxmlformats.org/officeDocument/2006/relationships/hyperlink" Target="https://www.dol.gov/whd/overtime_pay.htm"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dol.gov/whd/overtime_pay.htm" TargetMode="External"/><Relationship Id="rId2" Type="http://schemas.openxmlformats.org/officeDocument/2006/relationships/numbering" Target="numbering.xml"/><Relationship Id="rId16" Type="http://schemas.openxmlformats.org/officeDocument/2006/relationships/hyperlink" Target="https://www.dol.gov/whd/overtime2019/overtime_complianceguide.pdf" TargetMode="External"/><Relationship Id="rId20" Type="http://schemas.openxmlformats.org/officeDocument/2006/relationships/hyperlink" Target="https://www.dol.gov/whd/overtime2019/overtime_complianceguid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dol.gov/whd/overtime2019/overtime_FAQ.htm"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dol.gov/whd/overtime2019/overtime_FAQ.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federalregister.gov/documents/2019/09/27/2019-20353/defining-and-delimiting-the-exemptions-for-executive-administrative-professional-outside-sales-and"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E6F2A-43AF-4217-9AF9-D3CBE772D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784</Words>
  <Characters>4471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2019-10-28T03:42:00Z</dcterms:created>
  <dcterms:modified xsi:type="dcterms:W3CDTF">2019-10-28T03:42:00Z</dcterms:modified>
</cp:coreProperties>
</file>